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213_15-15d.htm"/>
      <w:bookmarkStart w:id="1" w:name="ksef20078213_1515d"/>
      <w:bookmarkStart w:id="2" w:name="ef20078213_15-15d.htm"/>
      <w:bookmarkStart w:id="3" w:name="ksef20078213_1515d"/>
      <w:bookmarkEnd w:id="2"/>
      <w:bookmarkEnd w:id="3"/>
    </w:p>
    <w:p>
      <w:pPr>
        <w:pStyle w:val="TextBody"/>
        <w:bidi w:val="0"/>
        <w:spacing w:before="0" w:after="0"/>
        <w:jc w:val="center"/>
        <w:rPr>
          <w:sz w:val="28"/>
        </w:rPr>
      </w:pPr>
      <w:r>
        <w:rPr>
          <w:b/>
          <w:sz w:val="28"/>
        </w:rPr>
        <w:t>UNITED STATES</w:t>
      </w:r>
      <w:r>
        <w:rPr>
          <w:sz w:val="28"/>
        </w:rPr>
        <w:t xml:space="preserve"> </w:t>
      </w:r>
    </w:p>
    <w:p>
      <w:pPr>
        <w:pStyle w:val="TextBody"/>
        <w:bidi w:val="0"/>
        <w:spacing w:before="0" w:after="0"/>
        <w:jc w:val="center"/>
        <w:rPr>
          <w:sz w:val="28"/>
        </w:rPr>
      </w:pPr>
      <w:r>
        <w:rPr>
          <w:b/>
          <w:sz w:val="28"/>
        </w:rPr>
        <w:t>SECURITIES AND EXCHANGE COMMISSION</w:t>
      </w:r>
      <w:r>
        <w:rPr>
          <w:sz w:val="28"/>
        </w:rPr>
        <w:t xml:space="preserve"> </w:t>
      </w:r>
    </w:p>
    <w:p>
      <w:pPr>
        <w:pStyle w:val="TextBody"/>
        <w:bidi w:val="0"/>
        <w:spacing w:before="0" w:after="0"/>
        <w:jc w:val="center"/>
        <w:rPr>
          <w:sz w:val="24"/>
        </w:rPr>
      </w:pPr>
      <w:r>
        <w:rPr>
          <w:b/>
          <w:sz w:val="24"/>
        </w:rPr>
        <w:t>Washington, D.C. 20549</w:t>
      </w:r>
      <w:r>
        <w:rPr>
          <w:sz w:val="24"/>
        </w:rPr>
        <w:t xml:space="preserve"> </w:t>
      </w:r>
    </w:p>
    <w:p>
      <w:pPr>
        <w:pStyle w:val="TextBody"/>
        <w:bidi w:val="0"/>
        <w:spacing w:before="0" w:after="0"/>
        <w:jc w:val="center"/>
        <w:rPr/>
      </w:pPr>
      <w:r>
        <w:rPr/>
        <w:t xml:space="preserve">  </w:t>
      </w:r>
    </w:p>
    <w:p>
      <w:pPr>
        <w:pStyle w:val="TextBody"/>
        <w:bidi w:val="0"/>
        <w:spacing w:before="0" w:after="0"/>
        <w:jc w:val="center"/>
        <w:rPr>
          <w:sz w:val="36"/>
        </w:rPr>
      </w:pPr>
      <w:r>
        <w:rPr>
          <w:b/>
          <w:sz w:val="36"/>
        </w:rPr>
        <w:t>FORM 15-15D</w:t>
      </w:r>
      <w:r>
        <w:rPr>
          <w:sz w:val="36"/>
        </w:rPr>
        <w:t xml:space="preserve"> </w:t>
      </w:r>
    </w:p>
    <w:p>
      <w:pPr>
        <w:pStyle w:val="TextBody"/>
        <w:bidi w:val="0"/>
        <w:spacing w:before="0" w:after="0"/>
        <w:jc w:val="center"/>
        <w:rPr/>
      </w:pPr>
      <w:r>
        <w:rPr/>
        <w:t xml:space="preserve">  </w:t>
      </w:r>
    </w:p>
    <w:p>
      <w:pPr>
        <w:pStyle w:val="TextBody"/>
        <w:bidi w:val="0"/>
        <w:spacing w:before="0" w:after="0"/>
        <w:jc w:val="center"/>
        <w:rPr/>
      </w:pPr>
      <w:r>
        <w:rPr>
          <w:b/>
        </w:rPr>
        <w:t>CERTIFICATION AND NOTICE OF TERMINATION OF REGISTRATION UNDER SECTION 12(g) OF THE SECURITIES EXCHANGE ACT OF 1934 OR SUSPENSION OF DUTY TO FILE REPORTS UNDER SECTIONS 13 AND 15(d) OF THE SECURITIES EXCHANGE ACT OF 1934.</w:t>
      </w: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Commission File Number: 333-295377-01 </w:t>
      </w:r>
    </w:p>
    <w:p>
      <w:pPr>
        <w:pStyle w:val="TextBody"/>
        <w:bidi w:val="0"/>
        <w:spacing w:before="0" w:after="0"/>
        <w:jc w:val="center"/>
        <w:rPr/>
      </w:pPr>
      <w:r>
        <w:rPr/>
        <w:t xml:space="preserve">  </w:t>
      </w:r>
    </w:p>
    <w:p>
      <w:pPr>
        <w:pStyle w:val="TextBody"/>
        <w:bidi w:val="0"/>
        <w:spacing w:before="0" w:after="0"/>
        <w:jc w:val="center"/>
        <w:rPr>
          <w:sz w:val="48"/>
        </w:rPr>
      </w:pPr>
      <w:r>
        <w:rPr>
          <w:b/>
          <w:sz w:val="48"/>
        </w:rPr>
        <w:t>FREENOME HOLDINGS, INC.</w:t>
      </w:r>
      <w:r>
        <w:rPr>
          <w:sz w:val="48"/>
        </w:rPr>
        <w:t xml:space="preserve"> </w:t>
      </w:r>
    </w:p>
    <w:p>
      <w:pPr>
        <w:pStyle w:val="TextBody"/>
        <w:bidi w:val="0"/>
        <w:spacing w:before="0" w:after="0"/>
        <w:jc w:val="center"/>
        <w:rPr/>
      </w:pPr>
      <w:r>
        <w:rPr/>
        <w:t xml:space="preserve">(Exact name of registrant as specified in its charter) </w:t>
      </w:r>
    </w:p>
    <w:p>
      <w:pPr>
        <w:pStyle w:val="TextBody"/>
        <w:bidi w:val="0"/>
        <w:spacing w:before="0" w:after="0"/>
        <w:jc w:val="center"/>
        <w:rPr/>
      </w:pPr>
      <w:r>
        <w:rPr/>
        <w:t xml:space="preserve">  </w:t>
      </w:r>
    </w:p>
    <w:p>
      <w:pPr>
        <w:pStyle w:val="TextBody"/>
        <w:bidi w:val="0"/>
        <w:spacing w:before="0" w:after="0"/>
        <w:jc w:val="center"/>
        <w:rPr/>
      </w:pPr>
      <w:r>
        <w:rPr>
          <w:b/>
        </w:rPr>
        <w:t>3300 Marina Blvd</w:t>
      </w:r>
      <w:r>
        <w:rPr/>
        <w:t xml:space="preserve"> </w:t>
      </w:r>
    </w:p>
    <w:p>
      <w:pPr>
        <w:pStyle w:val="TextBody"/>
        <w:bidi w:val="0"/>
        <w:spacing w:before="0" w:after="0"/>
        <w:jc w:val="center"/>
        <w:rPr/>
      </w:pPr>
      <w:r>
        <w:rPr>
          <w:b/>
        </w:rPr>
        <w:t>Brisbane, CA 94005</w:t>
      </w:r>
      <w:r>
        <w:rPr/>
        <w:t xml:space="preserve"> </w:t>
      </w:r>
    </w:p>
    <w:p>
      <w:pPr>
        <w:pStyle w:val="TextBody"/>
        <w:bidi w:val="0"/>
        <w:spacing w:before="0" w:after="0"/>
        <w:jc w:val="center"/>
        <w:rPr/>
      </w:pPr>
      <w:r>
        <w:rPr>
          <w:b/>
        </w:rPr>
        <w:t>(650) 446-6630</w:t>
      </w:r>
      <w:r>
        <w:rPr/>
        <w:t xml:space="preserve"> </w:t>
      </w:r>
    </w:p>
    <w:p>
      <w:pPr>
        <w:pStyle w:val="TextBody"/>
        <w:bidi w:val="0"/>
        <w:spacing w:before="0" w:after="0"/>
        <w:jc w:val="center"/>
        <w:rPr/>
      </w:pPr>
      <w:r>
        <w:rPr/>
        <w:t xml:space="preserve">(Address, including zip code, and telephone number, including area code, of registrant’s principal executive offices) </w:t>
      </w:r>
    </w:p>
    <w:p>
      <w:pPr>
        <w:pStyle w:val="TextBody"/>
        <w:bidi w:val="0"/>
        <w:spacing w:before="0" w:after="0"/>
        <w:jc w:val="center"/>
        <w:rPr/>
      </w:pPr>
      <w:r>
        <w:rPr/>
        <w:t xml:space="preserve">  </w:t>
      </w:r>
    </w:p>
    <w:p>
      <w:pPr>
        <w:pStyle w:val="TextBody"/>
        <w:bidi w:val="0"/>
        <w:spacing w:before="0" w:after="0"/>
        <w:jc w:val="center"/>
        <w:rPr/>
      </w:pPr>
      <w:r>
        <w:rPr>
          <w:b/>
        </w:rPr>
        <w:t>None</w:t>
      </w:r>
      <w:r>
        <w:rPr/>
        <w:t xml:space="preserve"> </w:t>
      </w:r>
    </w:p>
    <w:p>
      <w:pPr>
        <w:pStyle w:val="TextBody"/>
        <w:bidi w:val="0"/>
        <w:spacing w:before="0" w:after="0"/>
        <w:jc w:val="center"/>
        <w:rPr/>
      </w:pPr>
      <w:r>
        <w:rPr/>
        <w:t xml:space="preserve">(Title of each class of securities covered by this Form) </w:t>
      </w:r>
    </w:p>
    <w:p>
      <w:pPr>
        <w:pStyle w:val="TextBody"/>
        <w:bidi w:val="0"/>
        <w:spacing w:before="0" w:after="0"/>
        <w:jc w:val="center"/>
        <w:rPr/>
      </w:pPr>
      <w:r>
        <w:rPr/>
        <w:t xml:space="preserve">  </w:t>
      </w:r>
    </w:p>
    <w:p>
      <w:pPr>
        <w:pStyle w:val="TextBody"/>
        <w:bidi w:val="0"/>
        <w:spacing w:before="0" w:after="0"/>
        <w:jc w:val="center"/>
        <w:rPr/>
      </w:pPr>
      <w:r>
        <w:rPr>
          <w:b/>
        </w:rPr>
        <w:t>None</w:t>
      </w:r>
      <w:r>
        <w:rPr/>
        <w:t xml:space="preserve"> </w:t>
      </w:r>
    </w:p>
    <w:p>
      <w:pPr>
        <w:pStyle w:val="TextBody"/>
        <w:bidi w:val="0"/>
        <w:spacing w:before="0" w:after="0"/>
        <w:jc w:val="center"/>
        <w:rPr/>
      </w:pPr>
      <w:r>
        <w:rPr/>
        <w:t xml:space="preserve">(Titles of all other classes of securities for which a duty to file reports under section 13(a) or 15(d) remains) </w:t>
      </w:r>
    </w:p>
    <w:p>
      <w:pPr>
        <w:pStyle w:val="TextBody"/>
        <w:bidi w:val="0"/>
        <w:spacing w:before="0" w:after="0"/>
        <w:jc w:val="center"/>
        <w:rPr/>
      </w:pPr>
      <w:r>
        <w:rPr/>
        <w:t xml:space="preserve">  </w:t>
      </w:r>
    </w:p>
    <w:p>
      <w:pPr>
        <w:pStyle w:val="TextBody"/>
        <w:bidi w:val="0"/>
        <w:spacing w:before="0" w:after="0"/>
        <w:ind w:left="0" w:right="0" w:firstLine="360"/>
        <w:jc w:val="left"/>
        <w:rPr/>
      </w:pPr>
      <w:r>
        <w:rPr/>
        <w:t xml:space="preserve">Please place an X in the box(es) to designate the appropriate rule provision(s) relied upon to terminate or suspend the duty to file reports: </w:t>
      </w:r>
    </w:p>
    <w:p>
      <w:pPr>
        <w:pStyle w:val="TextBody"/>
        <w:bidi w:val="0"/>
        <w:spacing w:before="0" w:after="0"/>
        <w:jc w:val="left"/>
        <w:rPr/>
      </w:pPr>
      <w:r>
        <w:rPr/>
        <w:t xml:space="preserve">  </w:t>
      </w:r>
    </w:p>
    <w:tbl>
      <w:tblPr>
        <w:tblW w:w="2623" w:type="dxa"/>
        <w:jc w:val="left"/>
        <w:tblInd w:w="0" w:type="dxa"/>
        <w:tblLayout w:type="fixed"/>
        <w:tblCellMar>
          <w:top w:w="28" w:type="dxa"/>
          <w:left w:w="28" w:type="dxa"/>
          <w:bottom w:w="28" w:type="dxa"/>
          <w:right w:w="28" w:type="dxa"/>
        </w:tblCellMar>
      </w:tblPr>
      <w:tblGrid>
        <w:gridCol w:w="161"/>
        <w:gridCol w:w="2041"/>
        <w:gridCol w:w="421"/>
      </w:tblGrid>
      <w:tr>
        <w:trPr/>
        <w:tc>
          <w:tcPr>
            <w:tcW w:w="161"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jc w:val="left"/>
              <w:rPr/>
            </w:pPr>
            <w:r>
              <w:rPr>
                <w:color w:val="000000"/>
              </w:rPr>
              <w:t>Rule 12g-4(a)(1)</w:t>
            </w:r>
            <w:r>
              <w:rPr/>
              <w:t xml:space="preserve"> </w:t>
            </w:r>
          </w:p>
        </w:tc>
        <w:tc>
          <w:tcPr>
            <w:tcW w:w="42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t xml:space="preserve"> </w:t>
            </w:r>
          </w:p>
        </w:tc>
      </w:tr>
      <w:tr>
        <w:trPr/>
        <w:tc>
          <w:tcPr>
            <w:tcW w:w="161" w:type="dxa"/>
            <w:tcBorders/>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jc w:val="left"/>
              <w:rPr/>
            </w:pPr>
            <w:r>
              <w:rPr>
                <w:color w:val="000000"/>
              </w:rPr>
              <w:t>Rule 12g-4(a)(2)</w:t>
            </w:r>
            <w:r>
              <w:rPr/>
              <w:t xml:space="preserve"> </w:t>
            </w:r>
          </w:p>
        </w:tc>
        <w:tc>
          <w:tcPr>
            <w:tcW w:w="42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t xml:space="preserve"> </w:t>
            </w:r>
          </w:p>
        </w:tc>
      </w:tr>
      <w:tr>
        <w:trPr/>
        <w:tc>
          <w:tcPr>
            <w:tcW w:w="161" w:type="dxa"/>
            <w:tcBorders/>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jc w:val="left"/>
              <w:rPr/>
            </w:pPr>
            <w:r>
              <w:rPr>
                <w:color w:val="000000"/>
              </w:rPr>
              <w:t>Rule 12h-3(b)(1)(i)</w:t>
            </w:r>
            <w:r>
              <w:rPr/>
              <w:t xml:space="preserve"> </w:t>
            </w:r>
          </w:p>
        </w:tc>
        <w:tc>
          <w:tcPr>
            <w:tcW w:w="42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t xml:space="preserve"> </w:t>
            </w:r>
          </w:p>
        </w:tc>
      </w:tr>
      <w:tr>
        <w:trPr/>
        <w:tc>
          <w:tcPr>
            <w:tcW w:w="161" w:type="dxa"/>
            <w:tcBorders/>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jc w:val="left"/>
              <w:rPr/>
            </w:pPr>
            <w:r>
              <w:rPr>
                <w:color w:val="000000"/>
              </w:rPr>
              <w:t>Rule 12h-3(b)(1)(ii)</w:t>
            </w:r>
            <w:r>
              <w:rPr/>
              <w:t xml:space="preserve"> </w:t>
            </w:r>
          </w:p>
        </w:tc>
        <w:tc>
          <w:tcPr>
            <w:tcW w:w="42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t xml:space="preserve"> </w:t>
            </w:r>
          </w:p>
        </w:tc>
      </w:tr>
      <w:tr>
        <w:trPr/>
        <w:tc>
          <w:tcPr>
            <w:tcW w:w="161" w:type="dxa"/>
            <w:tcBorders/>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jc w:val="left"/>
              <w:rPr/>
            </w:pPr>
            <w:r>
              <w:rPr>
                <w:color w:val="000000"/>
              </w:rPr>
              <w:t>Rule 15d-6</w:t>
            </w:r>
            <w:r>
              <w:rPr/>
              <w:t xml:space="preserve"> </w:t>
            </w:r>
          </w:p>
        </w:tc>
        <w:tc>
          <w:tcPr>
            <w:tcW w:w="42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t xml:space="preserve"> </w:t>
            </w:r>
          </w:p>
        </w:tc>
      </w:tr>
      <w:tr>
        <w:trPr/>
        <w:tc>
          <w:tcPr>
            <w:tcW w:w="161" w:type="dxa"/>
            <w:tcBorders/>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jc w:val="left"/>
              <w:rPr/>
            </w:pPr>
            <w:r>
              <w:rPr>
                <w:color w:val="000000"/>
              </w:rPr>
              <w:t>Rule 15d-22(b)</w:t>
            </w:r>
            <w:r>
              <w:rPr/>
              <w:t xml:space="preserve"> </w:t>
            </w:r>
          </w:p>
        </w:tc>
        <w:tc>
          <w:tcPr>
            <w:tcW w:w="42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t xml:space="preserve"> </w:t>
            </w:r>
          </w:p>
        </w:tc>
      </w:tr>
    </w:tbl>
    <w:p>
      <w:pPr>
        <w:pStyle w:val="TextBody"/>
        <w:bidi w:val="0"/>
        <w:spacing w:before="0" w:after="0"/>
        <w:jc w:val="left"/>
        <w:rPr/>
      </w:pPr>
      <w:r>
        <w:rPr/>
        <w:t xml:space="preserve">  </w:t>
      </w:r>
    </w:p>
    <w:p>
      <w:pPr>
        <w:pStyle w:val="TextBody"/>
        <w:bidi w:val="0"/>
        <w:spacing w:before="0" w:after="0"/>
        <w:ind w:left="0" w:right="0" w:firstLine="360"/>
        <w:jc w:val="left"/>
        <w:rPr/>
      </w:pPr>
      <w:r>
        <w:rPr/>
        <w:t xml:space="preserve">Approximate number of holders of record as of the certification or notice date: 1* </w:t>
      </w:r>
    </w:p>
    <w:p>
      <w:pPr>
        <w:pStyle w:val="TextBody"/>
        <w:bidi w:val="0"/>
        <w:spacing w:before="0" w:after="0"/>
        <w:jc w:val="left"/>
        <w:rPr/>
      </w:pPr>
      <w:r>
        <w:rPr/>
        <w:t> </w:t>
      </w:r>
    </w:p>
    <w:p>
      <w:pPr>
        <w:pStyle w:val="TextBody"/>
        <w:bidi w:val="0"/>
        <w:spacing w:before="0" w:after="0"/>
        <w:ind w:left="0" w:right="0" w:hanging="360"/>
        <w:jc w:val="left"/>
        <w:rPr/>
      </w:pPr>
      <w:r>
        <w:rPr/>
        <w:t xml:space="preserve">Effective as of July 20, 2026, Freenome Holdings, Inc., a Delaware corporation (“Freenome”), consummated the previously announced business combination (and any other transactions contemplated thereby, the “Business Combination”) with Perceptive Capital Solutions Corp, a Cayman Islands exempted company (“PubCo”), StarNet Merger Sub I, Corp., a Delaware corporation and wholly-owned subsidiary of PubCo (“Merger Sub I”), and StarNet Merger Sub II, LLC, a Delaware limited liability company and wholly-owned subsidiary of PubCo (“Merger Sub II”). As part of the Business Combination, (1) PubCo de-registered in the Cayman Islands and transferred by way of continuation out of the Cayman Islands and into the State of Delaware so as to migrate and domesticate as a Delaware corporation, (2) Merger Sub I merged with and into Freenome (the “First Merger”) with Freenome surviving the First Merger as a wholly-owned subsidiary of PubCo, and (3) Freenome merged with and into Merger Sub II (the “Second Merger”) with Merger Sub II surviving the Second Merger as a wholly-owned subsidiary of PubCo. In connection with the consummation of the Business Combination, PubCo was renamed Freenome, Inc. This Form 15 relates solely to the reporting obligations of Freenome under the Securities Exchange Act of 1934, as amended, and does not affect the reporting obligations of PubCo under the Exchange Act.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b/>
                                <w:caps/>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caps/>
                        </w:rPr>
                        <w:t>*</w:t>
                      </w:r>
                      <w:r>
                        <w:rPr/>
                        <w:t xml:space="preserve"> </w:t>
                      </w:r>
                    </w:p>
                  </w:txbxContent>
                </v:textbox>
                <w10:wrap type="square" side="right"/>
              </v:rect>
            </w:pict>
          </mc:Fallback>
        </mc:AlternateConten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360"/>
        <w:jc w:val="left"/>
        <w:rPr/>
      </w:pPr>
      <w:r>
        <w:rPr/>
        <w:t xml:space="preserve">Pursuant to the requirements of the Securities Exchange Act of 1934, Freenome Holdings, Inc. has caused this certification/notice to be signed on its behalf by the undersigned duly authorized person. </w:t>
      </w:r>
    </w:p>
    <w:p>
      <w:pPr>
        <w:pStyle w:val="TextBody"/>
        <w:bidi w:val="0"/>
        <w:spacing w:before="0" w:after="0"/>
        <w:jc w:val="left"/>
        <w:rPr/>
      </w:pPr>
      <w:r>
        <w:rPr/>
        <w:t xml:space="preserve">  </w:t>
      </w:r>
    </w:p>
    <w:tbl>
      <w:tblPr>
        <w:tblW w:w="5641" w:type="dxa"/>
        <w:jc w:val="left"/>
        <w:tblInd w:w="0" w:type="dxa"/>
        <w:tblLayout w:type="fixed"/>
        <w:tblCellMar>
          <w:top w:w="28" w:type="dxa"/>
          <w:left w:w="28" w:type="dxa"/>
          <w:bottom w:w="28" w:type="dxa"/>
          <w:right w:w="28" w:type="dxa"/>
        </w:tblCellMar>
      </w:tblPr>
      <w:tblGrid>
        <w:gridCol w:w="2041"/>
        <w:gridCol w:w="876"/>
        <w:gridCol w:w="2724"/>
      </w:tblGrid>
      <w:tr>
        <w:trPr/>
        <w:tc>
          <w:tcPr>
            <w:tcW w:w="2041"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2724" w:type="dxa"/>
            <w:tcBorders/>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0"/>
              <w:jc w:val="both"/>
              <w:rPr/>
            </w:pPr>
            <w:r>
              <w:rPr>
                <w:color w:val="000000"/>
              </w:rPr>
              <w:t>Date: July 20, 2026</w:t>
            </w:r>
            <w:r>
              <w:rPr/>
              <w:t xml:space="preserve"> </w:t>
            </w:r>
          </w:p>
        </w:tc>
        <w:tc>
          <w:tcPr>
            <w:tcW w:w="3600" w:type="dxa"/>
            <w:gridSpan w:val="2"/>
            <w:tcBorders/>
            <w:tcMar>
              <w:top w:w="0" w:type="dxa"/>
              <w:left w:w="0" w:type="dxa"/>
              <w:bottom w:w="0" w:type="dxa"/>
              <w:right w:w="0" w:type="dxa"/>
            </w:tcMar>
            <w:vAlign w:val="center"/>
          </w:tcPr>
          <w:p>
            <w:pPr>
              <w:pStyle w:val="TableContents"/>
              <w:bidi w:val="0"/>
              <w:spacing w:before="0" w:after="0"/>
              <w:jc w:val="both"/>
              <w:rPr/>
            </w:pPr>
            <w:r>
              <w:rPr>
                <w:b/>
                <w:color w:val="000000"/>
              </w:rPr>
              <w:t>FREENOME HOLDINGS, INC.</w:t>
            </w:r>
            <w:r>
              <w:rPr/>
              <w:t xml:space="preserve"> </w:t>
            </w:r>
          </w:p>
        </w:tc>
      </w:tr>
      <w:tr>
        <w:trPr/>
        <w:tc>
          <w:tcPr>
            <w:tcW w:w="2041"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c>
          <w:tcPr>
            <w:tcW w:w="876"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c>
          <w:tcPr>
            <w:tcW w:w="2724"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r>
      <w:tr>
        <w:trPr/>
        <w:tc>
          <w:tcPr>
            <w:tcW w:w="2041"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c>
          <w:tcPr>
            <w:tcW w:w="876" w:type="dxa"/>
            <w:tcBorders/>
            <w:tcMar>
              <w:top w:w="0" w:type="dxa"/>
              <w:left w:w="0" w:type="dxa"/>
              <w:bottom w:w="0" w:type="dxa"/>
              <w:right w:w="0" w:type="dxa"/>
            </w:tcMar>
            <w:vAlign w:val="center"/>
          </w:tcPr>
          <w:p>
            <w:pPr>
              <w:pStyle w:val="TableContents"/>
              <w:bidi w:val="0"/>
              <w:spacing w:before="0" w:after="0"/>
              <w:jc w:val="both"/>
              <w:rPr/>
            </w:pPr>
            <w:r>
              <w:rPr>
                <w:color w:val="000000"/>
              </w:rPr>
              <w:t>By:</w:t>
            </w:r>
            <w:r>
              <w:rPr/>
              <w:t xml:space="preserve"> </w:t>
            </w:r>
          </w:p>
        </w:tc>
        <w:tc>
          <w:tcPr>
            <w:tcW w:w="2724" w:type="dxa"/>
            <w:tcBorders>
              <w:bottom w:val="single" w:sz="12" w:space="0" w:color="000000"/>
            </w:tcBorders>
            <w:tcMar>
              <w:top w:w="0" w:type="dxa"/>
              <w:left w:w="0" w:type="dxa"/>
              <w:right w:w="0" w:type="dxa"/>
            </w:tcMar>
            <w:vAlign w:val="center"/>
          </w:tcPr>
          <w:p>
            <w:pPr>
              <w:pStyle w:val="TableContents"/>
              <w:bidi w:val="0"/>
              <w:spacing w:before="0" w:after="0"/>
              <w:jc w:val="both"/>
              <w:rPr/>
            </w:pPr>
            <w:r>
              <w:rPr>
                <w:color w:val="000000"/>
              </w:rPr>
              <w:t>/s/ Aaron Elliott</w:t>
            </w:r>
            <w:r>
              <w:rPr/>
              <w:t xml:space="preserve"> </w:t>
            </w:r>
          </w:p>
        </w:tc>
      </w:tr>
      <w:tr>
        <w:trPr/>
        <w:tc>
          <w:tcPr>
            <w:tcW w:w="2041"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c>
          <w:tcPr>
            <w:tcW w:w="876" w:type="dxa"/>
            <w:tcBorders/>
            <w:tcMar>
              <w:top w:w="0" w:type="dxa"/>
              <w:left w:w="0" w:type="dxa"/>
              <w:bottom w:w="0" w:type="dxa"/>
              <w:right w:w="0" w:type="dxa"/>
            </w:tcMar>
            <w:vAlign w:val="center"/>
          </w:tcPr>
          <w:p>
            <w:pPr>
              <w:pStyle w:val="TableContents"/>
              <w:bidi w:val="0"/>
              <w:spacing w:before="0" w:after="0"/>
              <w:jc w:val="both"/>
              <w:rPr>
                <w:color w:val="000000"/>
              </w:rPr>
            </w:pPr>
            <w:r>
              <w:rPr>
                <w:color w:val="000000"/>
              </w:rPr>
              <w:t xml:space="preserve">Name: </w:t>
            </w:r>
          </w:p>
        </w:tc>
        <w:tc>
          <w:tcPr>
            <w:tcW w:w="2724" w:type="dxa"/>
            <w:tcBorders/>
            <w:tcMar>
              <w:top w:w="0" w:type="dxa"/>
              <w:left w:w="0" w:type="dxa"/>
              <w:bottom w:w="0" w:type="dxa"/>
              <w:right w:w="0" w:type="dxa"/>
            </w:tcMar>
            <w:vAlign w:val="center"/>
          </w:tcPr>
          <w:p>
            <w:pPr>
              <w:pStyle w:val="TableContents"/>
              <w:bidi w:val="0"/>
              <w:spacing w:before="0" w:after="0"/>
              <w:jc w:val="both"/>
              <w:rPr/>
            </w:pPr>
            <w:r>
              <w:rPr>
                <w:color w:val="000000"/>
              </w:rPr>
              <w:t>Aaron Elliott, Ph.D.</w:t>
            </w:r>
            <w:r>
              <w:rPr/>
              <w:t xml:space="preserve"> </w:t>
            </w:r>
          </w:p>
        </w:tc>
      </w:tr>
      <w:tr>
        <w:trPr/>
        <w:tc>
          <w:tcPr>
            <w:tcW w:w="2041"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c>
          <w:tcPr>
            <w:tcW w:w="876" w:type="dxa"/>
            <w:tcBorders/>
            <w:tcMar>
              <w:top w:w="0" w:type="dxa"/>
              <w:left w:w="0" w:type="dxa"/>
              <w:bottom w:w="0" w:type="dxa"/>
              <w:right w:w="0" w:type="dxa"/>
            </w:tcMar>
            <w:vAlign w:val="center"/>
          </w:tcPr>
          <w:p>
            <w:pPr>
              <w:pStyle w:val="TableContents"/>
              <w:bidi w:val="0"/>
              <w:spacing w:before="0" w:after="0"/>
              <w:jc w:val="both"/>
              <w:rPr/>
            </w:pPr>
            <w:r>
              <w:rPr>
                <w:color w:val="000000"/>
              </w:rPr>
              <w:t>Title:</w:t>
            </w:r>
            <w:r>
              <w:rPr/>
              <w:t xml:space="preserve"> </w:t>
            </w:r>
          </w:p>
        </w:tc>
        <w:tc>
          <w:tcPr>
            <w:tcW w:w="2724" w:type="dxa"/>
            <w:tcBorders/>
            <w:tcMar>
              <w:top w:w="0" w:type="dxa"/>
              <w:left w:w="0" w:type="dxa"/>
              <w:bottom w:w="0" w:type="dxa"/>
              <w:right w:w="0" w:type="dxa"/>
            </w:tcMar>
            <w:vAlign w:val="center"/>
          </w:tcPr>
          <w:p>
            <w:pPr>
              <w:pStyle w:val="TableContents"/>
              <w:bidi w:val="0"/>
              <w:spacing w:before="0" w:after="0"/>
              <w:jc w:val="both"/>
              <w:rPr/>
            </w:pPr>
            <w:r>
              <w:rPr>
                <w:color w:val="000000"/>
              </w:rPr>
              <w:t>Chief Executive Officer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437</Words>
  <Characters>2395</Characters>
  <CharactersWithSpaces>2885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