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Freenome,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07/20/2026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AH Bio Fund 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3,327,525.00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3,327,525.00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3,327,525.00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AH Equity Partners Bio I,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3,327,525.00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3,327,525.00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3,327,525.00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Andreessen Horowitz LSV Fund II,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1,038,814.00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1,038,814.00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1,038,814.00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AH Equity Partners LSV II,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1,038,814.00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1,038,814.00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1,038,814.00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CLF Partners,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6,207.00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6,207.00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6,207.00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AH Equity Partners V,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6,207.00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6,207.00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6,207.00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AH Parallel Fund IV,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1,199,053.00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1,199,053.00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1,199,053.00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AH Equity Partners IV (Parallel),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1,199,053.00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1,199,053.00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1,199,053.00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Marc L. Andreessen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5,571,599.00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5,571,599.00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5,571,599.00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Benjamin A. Horowitz</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5,571,599.00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5,571,599.00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5,571,599.00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item1to9"/>
      <w:bookmarkStart w:id="47" w:name="item1to9"/>
      <w:bookmarkEnd w:id="47"/>
    </w:p>
    <w:tbl>
      <w:tblPr>
        <w:tblW w:w="10205" w:type="dxa"/>
        <w:jc w:val="left"/>
        <w:tblInd w:w="0" w:type="dxa"/>
        <w:tblLayout w:type="fixed"/>
        <w:tblCellMar>
          <w:top w:w="28" w:type="dxa"/>
          <w:left w:w="28" w:type="dxa"/>
          <w:bottom w:w="28" w:type="dxa"/>
          <w:right w:w="28" w:type="dxa"/>
        </w:tblCellMar>
      </w:tblPr>
      <w:tblGrid>
        <w:gridCol w:w="1167"/>
        <w:gridCol w:w="8883"/>
        <w:gridCol w:w="155"/>
      </w:tblGrid>
      <w:tr>
        <w:trPr/>
        <w:tc>
          <w:tcPr>
            <w:tcW w:w="1167" w:type="dxa"/>
            <w:tcBorders/>
            <w:vAlign w:val="center"/>
          </w:tcPr>
          <w:p>
            <w:pPr>
              <w:pStyle w:val="TableContents"/>
              <w:bidi w:val="0"/>
              <w:spacing w:before="0" w:after="283"/>
              <w:jc w:val="left"/>
              <w:rPr/>
            </w:pPr>
            <w:r>
              <w:rPr/>
              <w:t>Item 1.</w:t>
            </w:r>
          </w:p>
        </w:tc>
        <w:tc>
          <w:tcPr>
            <w:tcW w:w="888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jc w:val="left"/>
              <w:rPr/>
            </w:pPr>
            <w:r>
              <w:rPr/>
              <w:t xml:space="preserve">Name of issuer: </w:t>
            </w:r>
          </w:p>
          <w:p>
            <w:pPr>
              <w:pStyle w:val="TableContents"/>
              <w:bidi w:val="0"/>
              <w:spacing w:before="0" w:after="0"/>
              <w:jc w:val="left"/>
              <w:rPr/>
            </w:pPr>
            <w:r>
              <w:rPr/>
              <w:t>Freenome, Inc.</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Genesis Marina, 3300 Marina Blvd, Brisbane, CA, 94005.</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2.</w:t>
            </w:r>
          </w:p>
        </w:tc>
        <w:tc>
          <w:tcPr>
            <w:tcW w:w="888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report (collectively, the "Reporting Persons") are: AH Bio Fund I, L.P. ("AH Bio I") AH Equity Partners Bio I, L.L.C. ("AH EP Bio I") Andreessen Horowitz LSV Fund II, L.P. ("AH LSV II") AH Equity Partners LSV II, L.L.C. ("AH Equity LSV II") CLF Partners, LP ("CLF") AH Equity Partners V, L.L.C. ("AH EP V") AH Parallel Fund IV, L.P. ("AH Parallel IV") AH Equity Partners IV (Parallel), L.L.C. ("AH Equity IV Parallel") Mark Andreessen ("Andreessen") Benjamin Horowitz ("Horowitz") The Reporting Persons expressly disclaim status as a "group" for purposes of this Schedule 13G.</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for each of the Reporting Persons is: Andreessen Horowitz 2865 Sand Hill Road, Suite 101 Menlo Park, CA 94025</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83"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All of the entities were organized in Delaware. Andreessen and Horowitz are both United States citizens.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(d)</w:t>
            </w:r>
          </w:p>
        </w:tc>
        <w:tc>
          <w:tcPr>
            <w:tcW w:w="888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(e)</w:t>
            </w:r>
          </w:p>
        </w:tc>
        <w:tc>
          <w:tcPr>
            <w:tcW w:w="888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3.</w:t>
            </w:r>
          </w:p>
        </w:tc>
        <w:tc>
          <w:tcPr>
            <w:tcW w:w="888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(d)</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(e)</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(f)</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(g)</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(h)</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(j)</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(k)</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9038" w:type="dxa"/>
            <w:gridSpan w:val="2"/>
            <w:tcBorders/>
            <w:vAlign w:val="center"/>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4.</w:t>
            </w:r>
          </w:p>
        </w:tc>
        <w:tc>
          <w:tcPr>
            <w:tcW w:w="888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Row 9 of each Reporting Person's cover page to this Schedule 13G sets forth the aggregate number of shares of common stock of the Issuer beneficially owned by such Reporting Person and is incorporated by reference. The Reporting Persons' ownership of the Issuer's securities includes (i) 3,327,525 shares of common stock directly held by AH Bio I for itself and as nominee of AH Bio Fund I-B, L.P. ("AH Bio I-B"); (ii) 1,038,814 shares of common stock directly held by AH LSV II for itself and as nominee of Andreessen Horowitz LSV Fund II-B, L.P. ("AH LSV II-B") and Andreessen Horowitz LSV Fund II-Q, L.P. ("AH LSV II-Q"); (iii) 6,207 shares of common stock directly held by CLF; and (iv) 1,199,053 shares of common stock directly held by AH Parallel IV for itself and as nominee of AH Parallel Fund IV-A, L.P. ("AH Parallel IV-A"), AH Parallel Fund IV-B, L.P. ("AH Parallel IV-B") and AH Parallel Fund IV-Q, L.P. ("AH Parallel IV-Q"). AH EP Bio I is the general partner of AH Bio I and may be deemed to have sole power to vote and sole power to dispose of shares of the Issuer held of record by AH Bio I for itself and as nominee of AH Bio I-B. Andreessen and Horowitz are managing members of AH EP Bio I and may be deemed to have shared voting and shared dispositive power over the shares held of record by AH Bio I for itself and as nominee. AH Equity LSV II is the general partner of AH LSV II and may be deemed to have sole power to vote and sole power to dispose of shares of the Issuer held of record by AH LSV II for itself and as nominee of AH LSV II-B and AH LSV II-Q. Andreessen and Horowitz are managing members of AH Equity LSV II and may be deemed to have shared voting and shared dispositive power over the shares held of record by AH LSV II for itself and as nominee. AH EP V is the general partner of CLF and may be deemed to have sole power to vote and sole power to dispose of shares of the Issuer held of record by CLF. Andreessen and Horowitz are managing members of AH EP V and may be deemed to have shared voting and shared dispositive power over the shares held of record by CLF. AH Equity IV Parallel is the general partner of AH Parallel IV and may be deemed to have sole power to vote and sole power to dispose of shares of the Issuer held of record by AH Parallel IV for itself and as nominee of AH Parallel IV-A, AH Parallel IV-B and AH Parallel IV-Q. Andreessen and Horowitz are managing members of AH Equity IV Parallel and may be deemed to have shared voting and shared dispositive power over the shares held of record by AH Parallel IV for itself and as nominee.</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Row 11 of each Reporting Person's cover page to this Schedule 13G sets forth the percentages of the shares of common stock of the Issuer beneficially owned by such Reporting Person and is incorporated by reference. The percentage set forth in each row 11 is based upon 107,446,814 shares of common stock outstanding as of July 20, 2026, as reported in the Issuer's Current Report on Form 8-K filed with the Securities and Exchange Commission (the "SEC") on July 24, 2026.  %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8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 sets forth the sole power to vote or to direct the vote of securities of the Issuer beneficially owned by such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 sets forth the shared power to vote or to direct the vote of securities of the Issuer beneficially owned by such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 sets forth the sole power to dispose or to direct the disposition of securities of the Issuer beneficially owned by such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 sets forth the shared power to dispose or to direct the disposition of securities of the Issuer beneficially owned by such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5.</w:t>
            </w:r>
          </w:p>
        </w:tc>
        <w:tc>
          <w:tcPr>
            <w:tcW w:w="888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6.</w:t>
            </w:r>
          </w:p>
        </w:tc>
        <w:tc>
          <w:tcPr>
            <w:tcW w:w="888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Under certain circumstances set forth in the limited partnership agreements of each of AH Bio I, AH Bio I-B, AH LSV II, AH LSV II-B, AH LSV II-Q, CLF, AH Parallel IV, AH Parallel IV-A, AH Parallel IV-B and AH Parallel IV-Q and the limited liability company agreements of AH EP Bio I, AH Equity LSV II, AH EP V and AH Equity IV Parallel, the general partner and limited partners or members, as the case may be, of each of such entities may be deemed to have the right to receive dividends from, or the proceeds from, the sale of shares of the Issuer owned by each such entity of which they are a partner or a member, as the case may be.</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7.</w:t>
            </w:r>
          </w:p>
        </w:tc>
        <w:tc>
          <w:tcPr>
            <w:tcW w:w="888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8.</w:t>
            </w:r>
          </w:p>
        </w:tc>
        <w:tc>
          <w:tcPr>
            <w:tcW w:w="888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9.</w:t>
            </w:r>
          </w:p>
        </w:tc>
        <w:tc>
          <w:tcPr>
            <w:tcW w:w="888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certifications"/>
      <w:bookmarkStart w:id="49" w:name="certifications"/>
      <w:bookmarkEnd w:id="4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0" w:name="signatureInfo"/>
      <w:bookmarkStart w:id="51" w:name="signatureInfo"/>
      <w:bookmarkEnd w:id="5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AH Bio Fund I, L.P.</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4"/>
        <w:gridCol w:w="4311"/>
      </w:tblGrid>
      <w:tr>
        <w:trPr/>
        <w:tc>
          <w:tcPr>
            <w:tcW w:w="589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Phil Hathaway</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By AH Equity Partners Bio I, L.L.C., Its General Partner, By Phil Hathaway, Chief Operating Officer (See Note 1)</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11" w:type="dxa"/>
            <w:tcBorders/>
            <w:vAlign w:val="center"/>
          </w:tcPr>
          <w:p>
            <w:pPr>
              <w:pStyle w:val="TableContents"/>
              <w:bidi w:val="0"/>
              <w:spacing w:before="0" w:after="283"/>
              <w:jc w:val="left"/>
              <w:rPr>
                <w:sz w:val="4"/>
                <w:szCs w:val="4"/>
              </w:rPr>
            </w:pPr>
            <w:r>
              <w:rPr>
                <w:sz w:val="4"/>
                <w:szCs w:val="4"/>
              </w:rPr>
            </w:r>
          </w:p>
        </w:tc>
      </w:tr>
    </w:tbl>
    <w:tbl>
      <w:tblPr>
        <w:tblW w:w="6924" w:type="dxa"/>
        <w:jc w:val="left"/>
        <w:tblInd w:w="0" w:type="dxa"/>
        <w:tblLayout w:type="fixed"/>
        <w:tblCellMar>
          <w:top w:w="28" w:type="dxa"/>
          <w:left w:w="28" w:type="dxa"/>
          <w:bottom w:w="28" w:type="dxa"/>
          <w:right w:w="28" w:type="dxa"/>
        </w:tblCellMar>
      </w:tblPr>
      <w:tblGrid>
        <w:gridCol w:w="3462"/>
        <w:gridCol w:w="3462"/>
      </w:tblGrid>
      <w:tr>
        <w:trPr/>
        <w:tc>
          <w:tcPr>
            <w:tcW w:w="3462" w:type="dxa"/>
            <w:tcBorders/>
            <w:vAlign w:val="center"/>
          </w:tcPr>
          <w:p>
            <w:pPr>
              <w:pStyle w:val="TableContents"/>
              <w:bidi w:val="0"/>
              <w:spacing w:before="0" w:after="0"/>
              <w:jc w:val="left"/>
              <w:rPr/>
            </w:pPr>
            <w:r>
              <w:rPr/>
              <w:t> </w:t>
            </w:r>
          </w:p>
          <w:tbl>
            <w:tblPr>
              <w:tblW w:w="3346" w:type="dxa"/>
              <w:jc w:val="left"/>
              <w:tblInd w:w="0" w:type="dxa"/>
              <w:tblLayout w:type="fixed"/>
              <w:tblCellMar>
                <w:top w:w="28" w:type="dxa"/>
                <w:left w:w="28" w:type="dxa"/>
                <w:bottom w:w="28" w:type="dxa"/>
                <w:right w:w="28" w:type="dxa"/>
              </w:tblCellMar>
            </w:tblPr>
            <w:tblGrid>
              <w:gridCol w:w="3346"/>
            </w:tblGrid>
            <w:tr>
              <w:trPr/>
              <w:tc>
                <w:tcPr>
                  <w:tcW w:w="3346" w:type="dxa"/>
                  <w:tcBorders/>
                  <w:vAlign w:val="center"/>
                </w:tcPr>
                <w:p>
                  <w:pPr>
                    <w:pStyle w:val="TableContents"/>
                    <w:bidi w:val="0"/>
                    <w:spacing w:before="0" w:after="0"/>
                    <w:jc w:val="left"/>
                    <w:rPr/>
                  </w:pPr>
                  <w:r>
                    <w:rPr/>
                    <w:t>AH Equity Partners Bio I, L.L.C.</w:t>
                  </w:r>
                </w:p>
              </w:tc>
            </w:tr>
          </w:tbl>
          <w:p>
            <w:pPr>
              <w:pStyle w:val="TableContents"/>
              <w:bidi w:val="0"/>
              <w:spacing w:before="0" w:after="283"/>
              <w:jc w:val="left"/>
              <w:rPr/>
            </w:pPr>
            <w:r>
              <w:rPr/>
            </w:r>
          </w:p>
        </w:tc>
        <w:tc>
          <w:tcPr>
            <w:tcW w:w="34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8"/>
        <w:gridCol w:w="4307"/>
      </w:tblGrid>
      <w:tr>
        <w:trPr/>
        <w:tc>
          <w:tcPr>
            <w:tcW w:w="58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Phil Hathaway</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By Phil Hathaway, Chief Operating Officer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07" w:type="dxa"/>
            <w:tcBorders/>
            <w:vAlign w:val="center"/>
          </w:tcPr>
          <w:p>
            <w:pPr>
              <w:pStyle w:val="TableContents"/>
              <w:bidi w:val="0"/>
              <w:spacing w:before="0" w:after="283"/>
              <w:jc w:val="left"/>
              <w:rPr>
                <w:sz w:val="4"/>
                <w:szCs w:val="4"/>
              </w:rPr>
            </w:pPr>
            <w:r>
              <w:rPr>
                <w:sz w:val="4"/>
                <w:szCs w:val="4"/>
              </w:rPr>
            </w:r>
          </w:p>
        </w:tc>
      </w:tr>
    </w:tbl>
    <w:tbl>
      <w:tblPr>
        <w:tblW w:w="8442" w:type="dxa"/>
        <w:jc w:val="left"/>
        <w:tblInd w:w="0" w:type="dxa"/>
        <w:tblLayout w:type="fixed"/>
        <w:tblCellMar>
          <w:top w:w="28" w:type="dxa"/>
          <w:left w:w="28" w:type="dxa"/>
          <w:bottom w:w="28" w:type="dxa"/>
          <w:right w:w="28" w:type="dxa"/>
        </w:tblCellMar>
      </w:tblPr>
      <w:tblGrid>
        <w:gridCol w:w="4221"/>
        <w:gridCol w:w="4221"/>
      </w:tblGrid>
      <w:tr>
        <w:trPr/>
        <w:tc>
          <w:tcPr>
            <w:tcW w:w="4221" w:type="dxa"/>
            <w:tcBorders/>
            <w:vAlign w:val="center"/>
          </w:tcPr>
          <w:p>
            <w:pPr>
              <w:pStyle w:val="TableContents"/>
              <w:bidi w:val="0"/>
              <w:spacing w:before="0" w:after="0"/>
              <w:jc w:val="left"/>
              <w:rPr/>
            </w:pPr>
            <w:r>
              <w:rPr/>
              <w:t> </w:t>
            </w:r>
          </w:p>
          <w:tbl>
            <w:tblPr>
              <w:tblW w:w="4051" w:type="dxa"/>
              <w:jc w:val="left"/>
              <w:tblInd w:w="0" w:type="dxa"/>
              <w:tblLayout w:type="fixed"/>
              <w:tblCellMar>
                <w:top w:w="28" w:type="dxa"/>
                <w:left w:w="28" w:type="dxa"/>
                <w:bottom w:w="28" w:type="dxa"/>
                <w:right w:w="28" w:type="dxa"/>
              </w:tblCellMar>
            </w:tblPr>
            <w:tblGrid>
              <w:gridCol w:w="4051"/>
            </w:tblGrid>
            <w:tr>
              <w:trPr/>
              <w:tc>
                <w:tcPr>
                  <w:tcW w:w="4051" w:type="dxa"/>
                  <w:tcBorders/>
                  <w:vAlign w:val="center"/>
                </w:tcPr>
                <w:p>
                  <w:pPr>
                    <w:pStyle w:val="TableContents"/>
                    <w:bidi w:val="0"/>
                    <w:spacing w:before="0" w:after="0"/>
                    <w:jc w:val="left"/>
                    <w:rPr/>
                  </w:pPr>
                  <w:r>
                    <w:rPr/>
                    <w:t>Andreessen Horowitz LSV Fund II, L.P.</w:t>
                  </w:r>
                </w:p>
              </w:tc>
            </w:tr>
          </w:tbl>
          <w:p>
            <w:pPr>
              <w:pStyle w:val="TableContents"/>
              <w:bidi w:val="0"/>
              <w:spacing w:before="0" w:after="283"/>
              <w:jc w:val="left"/>
              <w:rPr/>
            </w:pPr>
            <w:r>
              <w:rPr/>
            </w:r>
          </w:p>
        </w:tc>
        <w:tc>
          <w:tcPr>
            <w:tcW w:w="42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5"/>
        <w:gridCol w:w="4310"/>
      </w:tblGrid>
      <w:tr>
        <w:trPr/>
        <w:tc>
          <w:tcPr>
            <w:tcW w:w="58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Phil Hathaway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AH Equity Partners LSV II, L.L.C., Its General Partner, By Phil Hathaway, Chief Operating Officer (See Note 2)</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10" w:type="dxa"/>
            <w:tcBorders/>
            <w:vAlign w:val="center"/>
          </w:tcPr>
          <w:p>
            <w:pPr>
              <w:pStyle w:val="TableContents"/>
              <w:bidi w:val="0"/>
              <w:spacing w:before="0" w:after="283"/>
              <w:jc w:val="left"/>
              <w:rPr>
                <w:sz w:val="4"/>
                <w:szCs w:val="4"/>
              </w:rPr>
            </w:pPr>
            <w:r>
              <w:rPr>
                <w:sz w:val="4"/>
                <w:szCs w:val="4"/>
              </w:rPr>
            </w:r>
          </w:p>
        </w:tc>
      </w:tr>
    </w:tbl>
    <w:tbl>
      <w:tblPr>
        <w:tblW w:w="7300" w:type="dxa"/>
        <w:jc w:val="left"/>
        <w:tblInd w:w="0" w:type="dxa"/>
        <w:tblLayout w:type="fixed"/>
        <w:tblCellMar>
          <w:top w:w="28" w:type="dxa"/>
          <w:left w:w="28" w:type="dxa"/>
          <w:bottom w:w="28" w:type="dxa"/>
          <w:right w:w="28" w:type="dxa"/>
        </w:tblCellMar>
      </w:tblPr>
      <w:tblGrid>
        <w:gridCol w:w="3650"/>
        <w:gridCol w:w="3650"/>
      </w:tblGrid>
      <w:tr>
        <w:trPr/>
        <w:tc>
          <w:tcPr>
            <w:tcW w:w="3650" w:type="dxa"/>
            <w:tcBorders/>
            <w:vAlign w:val="center"/>
          </w:tcPr>
          <w:p>
            <w:pPr>
              <w:pStyle w:val="TableContents"/>
              <w:bidi w:val="0"/>
              <w:spacing w:before="0" w:after="0"/>
              <w:jc w:val="left"/>
              <w:rPr/>
            </w:pPr>
            <w:r>
              <w:rPr/>
              <w:t> </w:t>
            </w:r>
          </w:p>
          <w:tbl>
            <w:tblPr>
              <w:tblW w:w="3541" w:type="dxa"/>
              <w:jc w:val="left"/>
              <w:tblInd w:w="0" w:type="dxa"/>
              <w:tblLayout w:type="fixed"/>
              <w:tblCellMar>
                <w:top w:w="28" w:type="dxa"/>
                <w:left w:w="28" w:type="dxa"/>
                <w:bottom w:w="28" w:type="dxa"/>
                <w:right w:w="28" w:type="dxa"/>
              </w:tblCellMar>
            </w:tblPr>
            <w:tblGrid>
              <w:gridCol w:w="3541"/>
            </w:tblGrid>
            <w:tr>
              <w:trPr/>
              <w:tc>
                <w:tcPr>
                  <w:tcW w:w="3541" w:type="dxa"/>
                  <w:tcBorders/>
                  <w:vAlign w:val="center"/>
                </w:tcPr>
                <w:p>
                  <w:pPr>
                    <w:pStyle w:val="TableContents"/>
                    <w:bidi w:val="0"/>
                    <w:spacing w:before="0" w:after="0"/>
                    <w:jc w:val="left"/>
                    <w:rPr/>
                  </w:pPr>
                  <w:r>
                    <w:rPr/>
                    <w:t>AH Equity Partners LSV II, L.L.C.</w:t>
                  </w:r>
                </w:p>
              </w:tc>
            </w:tr>
          </w:tbl>
          <w:p>
            <w:pPr>
              <w:pStyle w:val="TableContents"/>
              <w:bidi w:val="0"/>
              <w:spacing w:before="0" w:after="283"/>
              <w:jc w:val="left"/>
              <w:rPr/>
            </w:pPr>
            <w:r>
              <w:rPr/>
            </w:r>
          </w:p>
        </w:tc>
        <w:tc>
          <w:tcPr>
            <w:tcW w:w="36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8"/>
        <w:gridCol w:w="4307"/>
      </w:tblGrid>
      <w:tr>
        <w:trPr/>
        <w:tc>
          <w:tcPr>
            <w:tcW w:w="58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Phil Hathaway</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By Phil Hathaway, Chief Operating Officer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07" w:type="dxa"/>
            <w:tcBorders/>
            <w:vAlign w:val="center"/>
          </w:tcPr>
          <w:p>
            <w:pPr>
              <w:pStyle w:val="TableContents"/>
              <w:bidi w:val="0"/>
              <w:spacing w:before="0" w:after="283"/>
              <w:jc w:val="left"/>
              <w:rPr>
                <w:sz w:val="4"/>
                <w:szCs w:val="4"/>
              </w:rPr>
            </w:pPr>
            <w:r>
              <w:rPr>
                <w:sz w:val="4"/>
                <w:szCs w:val="4"/>
              </w:rPr>
            </w:r>
          </w:p>
        </w:tc>
      </w:tr>
    </w:tbl>
    <w:tbl>
      <w:tblPr>
        <w:tblW w:w="3964" w:type="dxa"/>
        <w:jc w:val="left"/>
        <w:tblInd w:w="0" w:type="dxa"/>
        <w:tblLayout w:type="fixed"/>
        <w:tblCellMar>
          <w:top w:w="28" w:type="dxa"/>
          <w:left w:w="28" w:type="dxa"/>
          <w:bottom w:w="28" w:type="dxa"/>
          <w:right w:w="28" w:type="dxa"/>
        </w:tblCellMar>
      </w:tblPr>
      <w:tblGrid>
        <w:gridCol w:w="1982"/>
        <w:gridCol w:w="1982"/>
      </w:tblGrid>
      <w:tr>
        <w:trPr/>
        <w:tc>
          <w:tcPr>
            <w:tcW w:w="1982" w:type="dxa"/>
            <w:tcBorders/>
            <w:vAlign w:val="center"/>
          </w:tcPr>
          <w:p>
            <w:pPr>
              <w:pStyle w:val="TableContents"/>
              <w:bidi w:val="0"/>
              <w:spacing w:before="0" w:after="0"/>
              <w:jc w:val="left"/>
              <w:rPr/>
            </w:pPr>
            <w:r>
              <w:rPr/>
              <w:t> </w:t>
            </w:r>
          </w:p>
          <w:tbl>
            <w:tblPr>
              <w:tblW w:w="1846" w:type="dxa"/>
              <w:jc w:val="left"/>
              <w:tblInd w:w="0" w:type="dxa"/>
              <w:tblLayout w:type="fixed"/>
              <w:tblCellMar>
                <w:top w:w="28" w:type="dxa"/>
                <w:left w:w="28" w:type="dxa"/>
                <w:bottom w:w="28" w:type="dxa"/>
                <w:right w:w="28" w:type="dxa"/>
              </w:tblCellMar>
            </w:tblPr>
            <w:tblGrid>
              <w:gridCol w:w="1846"/>
            </w:tblGrid>
            <w:tr>
              <w:trPr/>
              <w:tc>
                <w:tcPr>
                  <w:tcW w:w="1846" w:type="dxa"/>
                  <w:tcBorders/>
                  <w:vAlign w:val="center"/>
                </w:tcPr>
                <w:p>
                  <w:pPr>
                    <w:pStyle w:val="TableContents"/>
                    <w:bidi w:val="0"/>
                    <w:spacing w:before="0" w:after="0"/>
                    <w:jc w:val="left"/>
                    <w:rPr/>
                  </w:pPr>
                  <w:r>
                    <w:rPr/>
                    <w:t>CLF Partners, LP</w:t>
                  </w:r>
                </w:p>
              </w:tc>
            </w:tr>
          </w:tbl>
          <w:p>
            <w:pPr>
              <w:pStyle w:val="TableContents"/>
              <w:bidi w:val="0"/>
              <w:spacing w:before="0" w:after="283"/>
              <w:jc w:val="left"/>
              <w:rPr/>
            </w:pPr>
            <w:r>
              <w:rPr/>
            </w:r>
          </w:p>
        </w:tc>
        <w:tc>
          <w:tcPr>
            <w:tcW w:w="198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4"/>
        <w:gridCol w:w="4311"/>
      </w:tblGrid>
      <w:tr>
        <w:trPr/>
        <w:tc>
          <w:tcPr>
            <w:tcW w:w="589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Phil Hathaway</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By AH Equity Partners V, L.L.C., Its General Partner, By Phil Hathaway, Chief Operating Officer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11" w:type="dxa"/>
            <w:tcBorders/>
            <w:vAlign w:val="center"/>
          </w:tcPr>
          <w:p>
            <w:pPr>
              <w:pStyle w:val="TableContents"/>
              <w:bidi w:val="0"/>
              <w:spacing w:before="0" w:after="283"/>
              <w:jc w:val="left"/>
              <w:rPr>
                <w:sz w:val="4"/>
                <w:szCs w:val="4"/>
              </w:rPr>
            </w:pPr>
            <w:r>
              <w:rPr>
                <w:sz w:val="4"/>
                <w:szCs w:val="4"/>
              </w:rPr>
            </w:r>
          </w:p>
        </w:tc>
      </w:tr>
    </w:tbl>
    <w:tbl>
      <w:tblPr>
        <w:tblW w:w="6348" w:type="dxa"/>
        <w:jc w:val="left"/>
        <w:tblInd w:w="0" w:type="dxa"/>
        <w:tblLayout w:type="fixed"/>
        <w:tblCellMar>
          <w:top w:w="28" w:type="dxa"/>
          <w:left w:w="28" w:type="dxa"/>
          <w:bottom w:w="28" w:type="dxa"/>
          <w:right w:w="28" w:type="dxa"/>
        </w:tblCellMar>
      </w:tblPr>
      <w:tblGrid>
        <w:gridCol w:w="3174"/>
        <w:gridCol w:w="3174"/>
      </w:tblGrid>
      <w:tr>
        <w:trPr/>
        <w:tc>
          <w:tcPr>
            <w:tcW w:w="3174" w:type="dxa"/>
            <w:tcBorders/>
            <w:vAlign w:val="center"/>
          </w:tcPr>
          <w:p>
            <w:pPr>
              <w:pStyle w:val="TableContents"/>
              <w:bidi w:val="0"/>
              <w:spacing w:before="0" w:after="0"/>
              <w:jc w:val="left"/>
              <w:rPr/>
            </w:pPr>
            <w:r>
              <w:rPr/>
              <w:t> </w:t>
            </w:r>
          </w:p>
          <w:tbl>
            <w:tblPr>
              <w:tblW w:w="3046" w:type="dxa"/>
              <w:jc w:val="left"/>
              <w:tblInd w:w="0" w:type="dxa"/>
              <w:tblLayout w:type="fixed"/>
              <w:tblCellMar>
                <w:top w:w="28" w:type="dxa"/>
                <w:left w:w="28" w:type="dxa"/>
                <w:bottom w:w="28" w:type="dxa"/>
                <w:right w:w="28" w:type="dxa"/>
              </w:tblCellMar>
            </w:tblPr>
            <w:tblGrid>
              <w:gridCol w:w="3046"/>
            </w:tblGrid>
            <w:tr>
              <w:trPr/>
              <w:tc>
                <w:tcPr>
                  <w:tcW w:w="3046" w:type="dxa"/>
                  <w:tcBorders/>
                  <w:vAlign w:val="center"/>
                </w:tcPr>
                <w:p>
                  <w:pPr>
                    <w:pStyle w:val="TableContents"/>
                    <w:bidi w:val="0"/>
                    <w:spacing w:before="0" w:after="0"/>
                    <w:jc w:val="left"/>
                    <w:rPr/>
                  </w:pPr>
                  <w:r>
                    <w:rPr/>
                    <w:t>AH Equity Partners V, L.L.C.</w:t>
                  </w:r>
                </w:p>
              </w:tc>
            </w:tr>
          </w:tbl>
          <w:p>
            <w:pPr>
              <w:pStyle w:val="TableContents"/>
              <w:bidi w:val="0"/>
              <w:spacing w:before="0" w:after="283"/>
              <w:jc w:val="left"/>
              <w:rPr/>
            </w:pPr>
            <w:r>
              <w:rPr/>
            </w:r>
          </w:p>
        </w:tc>
        <w:tc>
          <w:tcPr>
            <w:tcW w:w="31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8"/>
        <w:gridCol w:w="4307"/>
      </w:tblGrid>
      <w:tr>
        <w:trPr/>
        <w:tc>
          <w:tcPr>
            <w:tcW w:w="58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Phil Hathaway</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By Phil Hathaway, Chief Operating Officer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07" w:type="dxa"/>
            <w:tcBorders/>
            <w:vAlign w:val="center"/>
          </w:tcPr>
          <w:p>
            <w:pPr>
              <w:pStyle w:val="TableContents"/>
              <w:bidi w:val="0"/>
              <w:spacing w:before="0" w:after="283"/>
              <w:jc w:val="left"/>
              <w:rPr>
                <w:sz w:val="4"/>
                <w:szCs w:val="4"/>
              </w:rPr>
            </w:pPr>
            <w:r>
              <w:rPr>
                <w:sz w:val="4"/>
                <w:szCs w:val="4"/>
              </w:rPr>
            </w:r>
          </w:p>
        </w:tc>
      </w:tr>
    </w:tbl>
    <w:tbl>
      <w:tblPr>
        <w:tblW w:w="5654" w:type="dxa"/>
        <w:jc w:val="left"/>
        <w:tblInd w:w="0" w:type="dxa"/>
        <w:tblLayout w:type="fixed"/>
        <w:tblCellMar>
          <w:top w:w="28" w:type="dxa"/>
          <w:left w:w="28" w:type="dxa"/>
          <w:bottom w:w="28" w:type="dxa"/>
          <w:right w:w="28" w:type="dxa"/>
        </w:tblCellMar>
      </w:tblPr>
      <w:tblGrid>
        <w:gridCol w:w="2827"/>
        <w:gridCol w:w="2827"/>
      </w:tblGrid>
      <w:tr>
        <w:trPr/>
        <w:tc>
          <w:tcPr>
            <w:tcW w:w="2827" w:type="dxa"/>
            <w:tcBorders/>
            <w:vAlign w:val="center"/>
          </w:tcPr>
          <w:p>
            <w:pPr>
              <w:pStyle w:val="TableContents"/>
              <w:bidi w:val="0"/>
              <w:spacing w:before="0" w:after="0"/>
              <w:jc w:val="left"/>
              <w:rPr/>
            </w:pPr>
            <w:r>
              <w:rPr/>
              <w:t> </w:t>
            </w:r>
          </w:p>
          <w:tbl>
            <w:tblPr>
              <w:tblW w:w="2686" w:type="dxa"/>
              <w:jc w:val="left"/>
              <w:tblInd w:w="0" w:type="dxa"/>
              <w:tblLayout w:type="fixed"/>
              <w:tblCellMar>
                <w:top w:w="28" w:type="dxa"/>
                <w:left w:w="28" w:type="dxa"/>
                <w:bottom w:w="28" w:type="dxa"/>
                <w:right w:w="28" w:type="dxa"/>
              </w:tblCellMar>
            </w:tblPr>
            <w:tblGrid>
              <w:gridCol w:w="2686"/>
            </w:tblGrid>
            <w:tr>
              <w:trPr/>
              <w:tc>
                <w:tcPr>
                  <w:tcW w:w="2686" w:type="dxa"/>
                  <w:tcBorders/>
                  <w:vAlign w:val="center"/>
                </w:tcPr>
                <w:p>
                  <w:pPr>
                    <w:pStyle w:val="TableContents"/>
                    <w:bidi w:val="0"/>
                    <w:spacing w:before="0" w:after="0"/>
                    <w:jc w:val="left"/>
                    <w:rPr/>
                  </w:pPr>
                  <w:r>
                    <w:rPr/>
                    <w:t>AH Parallel Fund IV, L.P.</w:t>
                  </w:r>
                </w:p>
              </w:tc>
            </w:tr>
          </w:tbl>
          <w:p>
            <w:pPr>
              <w:pStyle w:val="TableContents"/>
              <w:bidi w:val="0"/>
              <w:spacing w:before="0" w:after="283"/>
              <w:jc w:val="left"/>
              <w:rPr/>
            </w:pPr>
            <w:r>
              <w:rPr/>
            </w:r>
          </w:p>
        </w:tc>
        <w:tc>
          <w:tcPr>
            <w:tcW w:w="28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6"/>
        <w:gridCol w:w="4309"/>
      </w:tblGrid>
      <w:tr>
        <w:trPr/>
        <w:tc>
          <w:tcPr>
            <w:tcW w:w="58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Phil Hathaway</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By AH Equity Partners IV (Parallel), L.L.C., Its General Partner, By Phil Hathaway, Chief Operating Officer (See Note 3)</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09" w:type="dxa"/>
            <w:tcBorders/>
            <w:vAlign w:val="center"/>
          </w:tcPr>
          <w:p>
            <w:pPr>
              <w:pStyle w:val="TableContents"/>
              <w:bidi w:val="0"/>
              <w:spacing w:before="0" w:after="283"/>
              <w:jc w:val="left"/>
              <w:rPr>
                <w:sz w:val="4"/>
                <w:szCs w:val="4"/>
              </w:rPr>
            </w:pPr>
            <w:r>
              <w:rPr>
                <w:sz w:val="4"/>
                <w:szCs w:val="4"/>
              </w:rPr>
            </w:r>
          </w:p>
        </w:tc>
      </w:tr>
    </w:tbl>
    <w:tbl>
      <w:tblPr>
        <w:tblW w:w="8412" w:type="dxa"/>
        <w:jc w:val="left"/>
        <w:tblInd w:w="0" w:type="dxa"/>
        <w:tblLayout w:type="fixed"/>
        <w:tblCellMar>
          <w:top w:w="28" w:type="dxa"/>
          <w:left w:w="28" w:type="dxa"/>
          <w:bottom w:w="28" w:type="dxa"/>
          <w:right w:w="28" w:type="dxa"/>
        </w:tblCellMar>
      </w:tblPr>
      <w:tblGrid>
        <w:gridCol w:w="4206"/>
        <w:gridCol w:w="4206"/>
      </w:tblGrid>
      <w:tr>
        <w:trPr/>
        <w:tc>
          <w:tcPr>
            <w:tcW w:w="4206" w:type="dxa"/>
            <w:tcBorders/>
            <w:vAlign w:val="center"/>
          </w:tcPr>
          <w:p>
            <w:pPr>
              <w:pStyle w:val="TableContents"/>
              <w:bidi w:val="0"/>
              <w:spacing w:before="0" w:after="0"/>
              <w:jc w:val="left"/>
              <w:rPr/>
            </w:pPr>
            <w:r>
              <w:rPr/>
              <w:t> </w:t>
            </w:r>
          </w:p>
          <w:tbl>
            <w:tblPr>
              <w:tblW w:w="4036" w:type="dxa"/>
              <w:jc w:val="left"/>
              <w:tblInd w:w="0" w:type="dxa"/>
              <w:tblLayout w:type="fixed"/>
              <w:tblCellMar>
                <w:top w:w="28" w:type="dxa"/>
                <w:left w:w="28" w:type="dxa"/>
                <w:bottom w:w="28" w:type="dxa"/>
                <w:right w:w="28" w:type="dxa"/>
              </w:tblCellMar>
            </w:tblPr>
            <w:tblGrid>
              <w:gridCol w:w="4036"/>
            </w:tblGrid>
            <w:tr>
              <w:trPr/>
              <w:tc>
                <w:tcPr>
                  <w:tcW w:w="4036" w:type="dxa"/>
                  <w:tcBorders/>
                  <w:vAlign w:val="center"/>
                </w:tcPr>
                <w:p>
                  <w:pPr>
                    <w:pStyle w:val="TableContents"/>
                    <w:bidi w:val="0"/>
                    <w:spacing w:before="0" w:after="0"/>
                    <w:jc w:val="left"/>
                    <w:rPr/>
                  </w:pPr>
                  <w:r>
                    <w:rPr/>
                    <w:t>AH Equity Partners IV (Parallel), L.L.C.</w:t>
                  </w:r>
                </w:p>
              </w:tc>
            </w:tr>
          </w:tbl>
          <w:p>
            <w:pPr>
              <w:pStyle w:val="TableContents"/>
              <w:bidi w:val="0"/>
              <w:spacing w:before="0" w:after="283"/>
              <w:jc w:val="left"/>
              <w:rPr/>
            </w:pPr>
            <w:r>
              <w:rPr/>
            </w:r>
          </w:p>
        </w:tc>
        <w:tc>
          <w:tcPr>
            <w:tcW w:w="42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8"/>
        <w:gridCol w:w="4307"/>
      </w:tblGrid>
      <w:tr>
        <w:trPr/>
        <w:tc>
          <w:tcPr>
            <w:tcW w:w="58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Phil Hathaway</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By Phil Hathaway, Chief Operating Officer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07" w:type="dxa"/>
            <w:tcBorders/>
            <w:vAlign w:val="center"/>
          </w:tcPr>
          <w:p>
            <w:pPr>
              <w:pStyle w:val="TableContents"/>
              <w:bidi w:val="0"/>
              <w:spacing w:before="0" w:after="283"/>
              <w:jc w:val="left"/>
              <w:rPr>
                <w:sz w:val="4"/>
                <w:szCs w:val="4"/>
              </w:rPr>
            </w:pPr>
            <w:r>
              <w:rPr>
                <w:sz w:val="4"/>
                <w:szCs w:val="4"/>
              </w:rPr>
            </w:r>
          </w:p>
        </w:tc>
      </w:tr>
    </w:tbl>
    <w:tbl>
      <w:tblPr>
        <w:tblW w:w="4444" w:type="dxa"/>
        <w:jc w:val="left"/>
        <w:tblInd w:w="0" w:type="dxa"/>
        <w:tblLayout w:type="fixed"/>
        <w:tblCellMar>
          <w:top w:w="28" w:type="dxa"/>
          <w:left w:w="28" w:type="dxa"/>
          <w:bottom w:w="28" w:type="dxa"/>
          <w:right w:w="28" w:type="dxa"/>
        </w:tblCellMar>
      </w:tblPr>
      <w:tblGrid>
        <w:gridCol w:w="2222"/>
        <w:gridCol w:w="2222"/>
      </w:tblGrid>
      <w:tr>
        <w:trPr/>
        <w:tc>
          <w:tcPr>
            <w:tcW w:w="2222" w:type="dxa"/>
            <w:tcBorders/>
            <w:vAlign w:val="center"/>
          </w:tcPr>
          <w:p>
            <w:pPr>
              <w:pStyle w:val="TableContents"/>
              <w:bidi w:val="0"/>
              <w:spacing w:before="0" w:after="0"/>
              <w:jc w:val="left"/>
              <w:rPr/>
            </w:pPr>
            <w:r>
              <w:rPr/>
              <w:t> </w:t>
            </w:r>
          </w:p>
          <w:tbl>
            <w:tblPr>
              <w:tblW w:w="2101" w:type="dxa"/>
              <w:jc w:val="left"/>
              <w:tblInd w:w="0" w:type="dxa"/>
              <w:tblLayout w:type="fixed"/>
              <w:tblCellMar>
                <w:top w:w="28" w:type="dxa"/>
                <w:left w:w="28" w:type="dxa"/>
                <w:bottom w:w="28" w:type="dxa"/>
                <w:right w:w="28" w:type="dxa"/>
              </w:tblCellMar>
            </w:tblPr>
            <w:tblGrid>
              <w:gridCol w:w="2101"/>
            </w:tblGrid>
            <w:tr>
              <w:trPr/>
              <w:tc>
                <w:tcPr>
                  <w:tcW w:w="2101" w:type="dxa"/>
                  <w:tcBorders/>
                  <w:vAlign w:val="center"/>
                </w:tcPr>
                <w:p>
                  <w:pPr>
                    <w:pStyle w:val="TableContents"/>
                    <w:bidi w:val="0"/>
                    <w:spacing w:before="0" w:after="0"/>
                    <w:jc w:val="left"/>
                    <w:rPr/>
                  </w:pPr>
                  <w:r>
                    <w:rPr/>
                    <w:t>Marc L. Andreessen</w:t>
                  </w:r>
                </w:p>
              </w:tc>
            </w:tr>
          </w:tbl>
          <w:p>
            <w:pPr>
              <w:pStyle w:val="TableContents"/>
              <w:bidi w:val="0"/>
              <w:spacing w:before="0" w:after="283"/>
              <w:jc w:val="left"/>
              <w:rPr/>
            </w:pPr>
            <w:r>
              <w:rPr/>
            </w:r>
          </w:p>
        </w:tc>
        <w:tc>
          <w:tcPr>
            <w:tcW w:w="22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5"/>
        <w:gridCol w:w="4310"/>
      </w:tblGrid>
      <w:tr>
        <w:trPr/>
        <w:tc>
          <w:tcPr>
            <w:tcW w:w="58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Phil Hathaway</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By Phil Hathaway, Attorney-in-Fact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10"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Benjamin A. Horowitz</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5"/>
        <w:gridCol w:w="4310"/>
      </w:tblGrid>
      <w:tr>
        <w:trPr/>
        <w:tc>
          <w:tcPr>
            <w:tcW w:w="58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Phil Hathaway</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By Phil Hathaway, Attorney-in-Fact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1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Note 1: AH Bio Fund I, L.P. for itself and as nominee for AH Bio Fund I-B, L.P. Note 2: Andreessen Horowitz LSV Fund II, L.P. for itself and as nominee for Andreessen Horowitz LSV Fund II-B, L.P. and Andreessen Horowitz LSV Fund II-Q, L.P. Note 3: AH Parallel Fund IV, L.P. for itself and as nominee for AH Parallel Fund IV-A, L.P., AH Parallel Fund IV-B L.P. and AH Parallel Fund IV-Q, L.P.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24.1 Power of Attorney for Marc L. Andreessen, dated June 23, 2023. Exhibit 24.2 Power of Attorney for Benjamin A. Horowitz, dated June 22, 2023. Exhibit 99.1 Joint Filing Agreement</w:t>
            </w:r>
          </w:p>
        </w:tc>
      </w:tr>
    </w:tbl>
    <w:p>
      <w:pPr>
        <w:pStyle w:val="TextBody"/>
        <w:bidi w:val="0"/>
        <w:spacing w:before="0" w:after="0"/>
        <w:ind w:left="0" w:right="0" w:hanging="0"/>
        <w:jc w:val="right"/>
        <w:rPr>
          <w:b/>
          <w:sz w:val="22"/>
        </w:rPr>
      </w:pPr>
      <w:bookmarkStart w:id="52" w:name="ex-24-07272026_090724.htm"/>
      <w:bookmarkStart w:id="53" w:name="ksex2407272026_090724"/>
      <w:bookmarkEnd w:id="52"/>
      <w:bookmarkEnd w:id="53"/>
      <w:r>
        <w:rPr>
          <w:b/>
          <w:sz w:val="22"/>
        </w:rPr>
        <w:t>Exhibit 24.1</w:t>
      </w:r>
      <w:r>
        <w:br w:type="page"/>
      </w:r>
    </w:p>
    <w:p>
      <w:pPr>
        <w:pStyle w:val="TextBody"/>
        <w:bidi w:val="0"/>
        <w:spacing w:before="0" w:after="0"/>
        <w:ind w:left="0" w:right="0" w:hanging="0"/>
        <w:jc w:val="both"/>
        <w:rPr/>
      </w:pPr>
      <w:r>
        <w:rPr/>
      </w:r>
    </w:p>
    <w:p>
      <w:pPr>
        <w:pStyle w:val="TextBody"/>
        <w:bidi w:val="0"/>
        <w:spacing w:before="0" w:after="0"/>
        <w:ind w:left="0" w:right="0" w:hanging="0"/>
        <w:jc w:val="center"/>
        <w:rPr>
          <w:b/>
          <w:sz w:val="22"/>
        </w:rPr>
      </w:pPr>
      <w:r>
        <w:rPr>
          <w:b/>
          <w:sz w:val="22"/>
        </w:rPr>
        <w:t>POWER OF ATTORNEY</w:t>
      </w:r>
    </w:p>
    <w:p>
      <w:pPr>
        <w:pStyle w:val="TextBody"/>
        <w:bidi w:val="0"/>
        <w:spacing w:before="0" w:after="0"/>
        <w:ind w:left="0" w:right="0" w:hanging="0"/>
        <w:jc w:val="left"/>
        <w:rPr/>
      </w:pPr>
      <w:r>
        <w:rPr/>
      </w:r>
    </w:p>
    <w:p>
      <w:pPr>
        <w:pStyle w:val="TextBody"/>
        <w:bidi w:val="0"/>
        <w:spacing w:before="0" w:after="0"/>
        <w:ind w:left="0" w:right="0" w:firstLine="720"/>
        <w:jc w:val="both"/>
        <w:rPr>
          <w:sz w:val="22"/>
        </w:rPr>
      </w:pPr>
      <w:r>
        <w:rPr>
          <w:sz w:val="22"/>
        </w:rPr>
        <w:t>The undersigned individual (the “</w:t>
      </w:r>
      <w:r>
        <w:rPr>
          <w:b/>
          <w:i/>
          <w:sz w:val="22"/>
        </w:rPr>
        <w:t>Reporting Person</w:t>
      </w:r>
      <w:r>
        <w:rPr>
          <w:sz w:val="22"/>
        </w:rPr>
        <w:t>”) hereby authorizes and designates each entity affiliated with AH Capital Management, L.L.C., or such other person or entity as is designated in writing by Marc Andreessen (the “</w:t>
      </w:r>
      <w:r>
        <w:rPr>
          <w:b/>
          <w:i/>
          <w:sz w:val="22"/>
        </w:rPr>
        <w:t>Designated Filer</w:t>
      </w:r>
      <w:r>
        <w:rPr>
          <w:sz w:val="22"/>
        </w:rPr>
        <w:t>”) as the beneficial owner to prepare and file on behalf of the Reporting Person individually, or jointly together with other reporting persons, any and all reports, notices, communications and other documents (including, but not limited to, reports on Schedule 13D, Schedule 13G, Form 13-F, Form 3, Form 4 and Form 5) that the Reporting Person may be required to file with the United States Securities and Exchange Commission pursuant to the Securities Act of 1933, as amended (together with the implementing regulations thereto, the “</w:t>
      </w:r>
      <w:r>
        <w:rPr>
          <w:b/>
          <w:i/>
          <w:sz w:val="22"/>
        </w:rPr>
        <w:t>Act</w:t>
      </w:r>
      <w:r>
        <w:rPr>
          <w:sz w:val="22"/>
        </w:rPr>
        <w:t>”) and the Securities Exchange Act of 1934, as amended (together with the implementing regulations thereto, the “</w:t>
      </w:r>
      <w:r>
        <w:rPr>
          <w:b/>
          <w:i/>
          <w:sz w:val="22"/>
        </w:rPr>
        <w:t>Exchange Act</w:t>
      </w:r>
      <w:r>
        <w:rPr>
          <w:sz w:val="22"/>
        </w:rPr>
        <w:t>”) (collectively, the “</w:t>
      </w:r>
      <w:r>
        <w:rPr>
          <w:b/>
          <w:i/>
          <w:sz w:val="22"/>
        </w:rPr>
        <w:t>Reports</w:t>
      </w:r>
      <w:r>
        <w:rPr>
          <w:sz w:val="22"/>
        </w:rPr>
        <w:t>”) with respect to the Reporting Person’s ownership of, or transactions in, securities of any entity whose securities are beneficially owned (directly or indirectly) by the Reporting Person (collectively, the “</w:t>
      </w:r>
      <w:r>
        <w:rPr>
          <w:b/>
          <w:i/>
          <w:sz w:val="22"/>
        </w:rPr>
        <w:t>Companies</w:t>
      </w:r>
      <w:r>
        <w:rPr>
          <w:sz w:val="22"/>
        </w:rPr>
        <w:t>”).</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Reporting Person hereby further authorizes and designates Phil Hathaway (the “</w:t>
      </w:r>
      <w:r>
        <w:rPr>
          <w:b/>
          <w:i/>
          <w:sz w:val="22"/>
        </w:rPr>
        <w:t>Authorized Signatory</w:t>
      </w:r>
      <w:r>
        <w:rPr>
          <w:sz w:val="22"/>
        </w:rPr>
        <w:t>”) to execute and file on behalf of the Reporting Person the Reports and to perform any and all other acts, which in the opinion of the Designated Filer or Authorized Signatory may be necessary or incidental to the performance of the foregoing powers herein granted.</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authority of the Designated Filer and the Authorized Signatory under this Document with respect to the Reporting Person shall continue until the Reporting Person is no longer required to file any Reports with respect to the Reporting Person’s ownership of, or transactions in, the securities of the Companies, unless earlier revoked in writing. The Reporting Person acknowledges that the Designated Filer and the Authorized Signatory are not assuming any of the Reporting Person’s responsibilities to comply with the Act or the Exchange Act.</w:t>
      </w:r>
    </w:p>
    <w:p>
      <w:pPr>
        <w:pStyle w:val="TextBody"/>
        <w:bidi w:val="0"/>
        <w:spacing w:before="0" w:after="0"/>
        <w:ind w:left="0" w:right="0" w:hanging="0"/>
        <w:jc w:val="both"/>
        <w:rPr/>
      </w:pPr>
      <w:r>
        <w:rPr/>
      </w:r>
    </w:p>
    <w:p>
      <w:pPr>
        <w:pStyle w:val="TextBody"/>
        <w:bidi w:val="0"/>
        <w:spacing w:before="0" w:after="0"/>
        <w:ind w:left="0" w:right="0" w:hanging="0"/>
        <w:jc w:val="both"/>
        <w:rPr/>
      </w:pPr>
      <w:r>
        <w:rPr/>
      </w:r>
    </w:p>
    <w:tbl>
      <w:tblPr>
        <w:tblW w:w="5000" w:type="pct"/>
        <w:jc w:val="center"/>
        <w:tblInd w:w="0" w:type="dxa"/>
        <w:tblLayout w:type="fixed"/>
        <w:tblCellMar>
          <w:top w:w="0" w:type="dxa"/>
          <w:left w:w="0" w:type="dxa"/>
          <w:bottom w:w="0" w:type="dxa"/>
          <w:right w:w="0" w:type="dxa"/>
        </w:tblCellMar>
      </w:tblPr>
      <w:tblGrid>
        <w:gridCol w:w="5007"/>
        <w:gridCol w:w="580"/>
        <w:gridCol w:w="4618"/>
      </w:tblGrid>
      <w:tr>
        <w:trPr/>
        <w:tc>
          <w:tcPr>
            <w:tcW w:w="500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4618" w:type="dxa"/>
            <w:tcBorders/>
            <w:vAlign w:val="center"/>
          </w:tcPr>
          <w:p>
            <w:pPr>
              <w:pStyle w:val="TableContents"/>
              <w:bidi w:val="0"/>
              <w:spacing w:before="0" w:after="283"/>
              <w:jc w:val="left"/>
              <w:rPr>
                <w:sz w:val="4"/>
                <w:szCs w:val="4"/>
              </w:rPr>
            </w:pPr>
            <w:r>
              <w:rPr>
                <w:sz w:val="4"/>
                <w:szCs w:val="4"/>
              </w:rPr>
            </w:r>
          </w:p>
        </w:tc>
      </w:tr>
      <w:tr>
        <w:trPr/>
        <w:tc>
          <w:tcPr>
            <w:tcW w:w="5007" w:type="dxa"/>
            <w:tcBorders/>
            <w:vAlign w:val="bottom"/>
          </w:tcPr>
          <w:p>
            <w:pPr>
              <w:pStyle w:val="TableContents"/>
              <w:bidi w:val="0"/>
              <w:spacing w:before="0" w:after="0"/>
              <w:ind w:left="0" w:right="0" w:hanging="0"/>
              <w:jc w:val="left"/>
              <w:rPr>
                <w:sz w:val="22"/>
              </w:rPr>
            </w:pPr>
            <w:r>
              <w:rPr>
                <w:sz w:val="22"/>
              </w:rPr>
              <w:t>June 23, 2023</w:t>
            </w:r>
          </w:p>
        </w:tc>
        <w:tc>
          <w:tcPr>
            <w:tcW w:w="580" w:type="dxa"/>
            <w:tcBorders/>
            <w:vAlign w:val="bottom"/>
          </w:tcPr>
          <w:p>
            <w:pPr>
              <w:pStyle w:val="TableContents"/>
              <w:bidi w:val="0"/>
              <w:spacing w:before="0" w:after="0"/>
              <w:ind w:left="0" w:right="0" w:hanging="0"/>
              <w:jc w:val="left"/>
              <w:rPr>
                <w:sz w:val="22"/>
              </w:rPr>
            </w:pPr>
            <w:r>
              <w:rPr>
                <w:sz w:val="22"/>
              </w:rPr>
              <w:t>By:</w:t>
            </w:r>
          </w:p>
        </w:tc>
        <w:tc>
          <w:tcPr>
            <w:tcW w:w="4618" w:type="dxa"/>
            <w:tcBorders>
              <w:bottom w:val="single" w:sz="6" w:space="0" w:color="000000"/>
            </w:tcBorders>
            <w:tcMar>
              <w:bottom w:w="28" w:type="dxa"/>
            </w:tcMar>
            <w:vAlign w:val="bottom"/>
          </w:tcPr>
          <w:p>
            <w:pPr>
              <w:pStyle w:val="TableContents"/>
              <w:bidi w:val="0"/>
              <w:spacing w:before="0" w:after="0"/>
              <w:ind w:left="0" w:right="0" w:hanging="0"/>
              <w:jc w:val="left"/>
              <w:rPr>
                <w:sz w:val="22"/>
              </w:rPr>
            </w:pPr>
            <w:r>
              <w:rPr>
                <w:sz w:val="22"/>
              </w:rPr>
              <w:t>/s/ Marc Andreessen</w:t>
            </w:r>
          </w:p>
        </w:tc>
      </w:tr>
      <w:tr>
        <w:trPr/>
        <w:tc>
          <w:tcPr>
            <w:tcW w:w="5007" w:type="dxa"/>
            <w:tcBorders/>
            <w:vAlign w:val="bottom"/>
          </w:tcPr>
          <w:p>
            <w:pPr>
              <w:pStyle w:val="TableContents"/>
              <w:bidi w:val="0"/>
              <w:spacing w:before="0" w:after="0"/>
              <w:ind w:left="0" w:right="0" w:hanging="0"/>
              <w:jc w:val="left"/>
              <w:rPr/>
            </w:pPr>
            <w:r>
              <w:rPr/>
            </w:r>
          </w:p>
        </w:tc>
        <w:tc>
          <w:tcPr>
            <w:tcW w:w="580" w:type="dxa"/>
            <w:tcBorders/>
            <w:vAlign w:val="bottom"/>
          </w:tcPr>
          <w:p>
            <w:pPr>
              <w:pStyle w:val="TableContents"/>
              <w:bidi w:val="0"/>
              <w:spacing w:before="0" w:after="0"/>
              <w:ind w:left="0" w:right="0" w:hanging="0"/>
              <w:jc w:val="left"/>
              <w:rPr/>
            </w:pPr>
            <w:r>
              <w:rPr/>
            </w:r>
          </w:p>
        </w:tc>
        <w:tc>
          <w:tcPr>
            <w:tcW w:w="4618" w:type="dxa"/>
            <w:tcBorders/>
            <w:vAlign w:val="bottom"/>
          </w:tcPr>
          <w:p>
            <w:pPr>
              <w:pStyle w:val="TableContents"/>
              <w:bidi w:val="0"/>
              <w:spacing w:before="0" w:after="0"/>
              <w:ind w:left="0" w:right="0" w:hanging="0"/>
              <w:jc w:val="left"/>
              <w:rPr>
                <w:sz w:val="22"/>
              </w:rPr>
            </w:pPr>
            <w:r>
              <w:rPr>
                <w:sz w:val="22"/>
              </w:rPr>
              <w:t>Marc Andreessen</w:t>
            </w:r>
          </w:p>
        </w:tc>
      </w:tr>
    </w:tbl>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right"/>
        <w:rPr>
          <w:b/>
          <w:sz w:val="22"/>
        </w:rPr>
      </w:pPr>
      <w:bookmarkStart w:id="54" w:name="ex-24-07272026_090725.htm"/>
      <w:bookmarkStart w:id="55" w:name="ksex2407272026_090725"/>
      <w:bookmarkEnd w:id="54"/>
      <w:bookmarkEnd w:id="55"/>
      <w:r>
        <w:rPr>
          <w:b/>
          <w:sz w:val="22"/>
        </w:rPr>
        <w:t>Exhibit 24.2</w:t>
      </w:r>
      <w:r>
        <w:br w:type="page"/>
      </w:r>
    </w:p>
    <w:p>
      <w:pPr>
        <w:pStyle w:val="TextBody"/>
        <w:bidi w:val="0"/>
        <w:spacing w:before="0" w:after="0"/>
        <w:ind w:left="0" w:right="0" w:hanging="0"/>
        <w:jc w:val="left"/>
        <w:rPr/>
      </w:pPr>
      <w:r>
        <w:rPr/>
      </w:r>
    </w:p>
    <w:p>
      <w:pPr>
        <w:pStyle w:val="TextBody"/>
        <w:bidi w:val="0"/>
        <w:spacing w:before="0" w:after="0"/>
        <w:ind w:left="0" w:right="0" w:hanging="0"/>
        <w:jc w:val="center"/>
        <w:rPr>
          <w:b/>
          <w:sz w:val="22"/>
        </w:rPr>
      </w:pPr>
      <w:r>
        <w:rPr>
          <w:b/>
          <w:sz w:val="22"/>
        </w:rPr>
        <w:t>POWER OF ATTORNEY</w:t>
      </w:r>
    </w:p>
    <w:p>
      <w:pPr>
        <w:pStyle w:val="TextBody"/>
        <w:bidi w:val="0"/>
        <w:spacing w:before="0" w:after="0"/>
        <w:ind w:left="0" w:right="0" w:hanging="0"/>
        <w:jc w:val="left"/>
        <w:rPr/>
      </w:pPr>
      <w:r>
        <w:rPr/>
      </w:r>
    </w:p>
    <w:p>
      <w:pPr>
        <w:pStyle w:val="TextBody"/>
        <w:bidi w:val="0"/>
        <w:spacing w:before="0" w:after="0"/>
        <w:ind w:left="0" w:right="0" w:firstLine="720"/>
        <w:jc w:val="both"/>
        <w:rPr>
          <w:sz w:val="22"/>
        </w:rPr>
      </w:pPr>
      <w:r>
        <w:rPr>
          <w:sz w:val="22"/>
        </w:rPr>
        <w:t>The undersigned individual (the "</w:t>
      </w:r>
      <w:r>
        <w:rPr>
          <w:b/>
          <w:i/>
          <w:sz w:val="22"/>
        </w:rPr>
        <w:t>Reporting Person</w:t>
      </w:r>
      <w:r>
        <w:rPr>
          <w:sz w:val="22"/>
        </w:rPr>
        <w:t>") hereby authorizes and designates each entity affiliated with AH Capital Management, L.L.C., or such other person or entity as is designated in writing by Benjamin Horowitz (the "</w:t>
      </w:r>
      <w:r>
        <w:rPr>
          <w:b/>
          <w:i/>
          <w:sz w:val="22"/>
        </w:rPr>
        <w:t>Designated Filer</w:t>
      </w:r>
      <w:r>
        <w:rPr>
          <w:sz w:val="22"/>
        </w:rPr>
        <w:t>") as the beneficial owner to prepare and file on behalf of the Reporting Person individually, or jointly together with other reporting persons, any and all reports, notices, communications and other documents (including, but not limited to, reports on Schedule 13D, Schedule 13G, Form 13-F, Form 3, Form 4 and Form 5) that the Reporting Person may be required to file with the United States Securities and Exchange Commission pursuant to the Securities Act of 1933, as amended (together with the implementing regulations thereto, the "</w:t>
      </w:r>
      <w:r>
        <w:rPr>
          <w:b/>
          <w:i/>
          <w:sz w:val="22"/>
        </w:rPr>
        <w:t>Act</w:t>
      </w:r>
      <w:r>
        <w:rPr>
          <w:sz w:val="22"/>
        </w:rPr>
        <w:t>") and the Securities Exchange Act of 1934, as amended (together with the implementing regulations thereto, the "</w:t>
      </w:r>
      <w:r>
        <w:rPr>
          <w:b/>
          <w:i/>
          <w:sz w:val="22"/>
        </w:rPr>
        <w:t>Exchange</w:t>
      </w:r>
      <w:r>
        <w:rPr>
          <w:sz w:val="22"/>
        </w:rPr>
        <w:t xml:space="preserve"> </w:t>
      </w:r>
      <w:r>
        <w:rPr>
          <w:b/>
          <w:i/>
          <w:sz w:val="22"/>
        </w:rPr>
        <w:t>Act</w:t>
      </w:r>
      <w:r>
        <w:rPr>
          <w:sz w:val="22"/>
        </w:rPr>
        <w:t>") (collectively, the "</w:t>
      </w:r>
      <w:r>
        <w:rPr>
          <w:b/>
          <w:i/>
          <w:sz w:val="22"/>
        </w:rPr>
        <w:t>Reports</w:t>
      </w:r>
      <w:r>
        <w:rPr>
          <w:sz w:val="22"/>
        </w:rPr>
        <w:t>") with respect to the Reporting Person's ownership of, or transactions in, securities of any entity whose securities are beneficially owned (directly or indirectly) by the Reporting Person (collectively, the "</w:t>
      </w:r>
      <w:r>
        <w:rPr>
          <w:b/>
          <w:i/>
          <w:sz w:val="22"/>
        </w:rPr>
        <w:t>Companies</w:t>
      </w:r>
      <w:r>
        <w:rPr>
          <w:sz w:val="22"/>
        </w:rPr>
        <w:t>").</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Reporting Person hereby further authorizes and designates Phil Hathaway (the "</w:t>
      </w:r>
      <w:r>
        <w:rPr>
          <w:b/>
          <w:i/>
          <w:sz w:val="22"/>
        </w:rPr>
        <w:t>Authorized Signatory</w:t>
      </w:r>
      <w:r>
        <w:rPr>
          <w:sz w:val="22"/>
        </w:rPr>
        <w:t xml:space="preserve">") to execute and file on behalf of the Reporting Person the Reports and to perform any and all other acts, which in the opinion of the Designated Filer or Authorized Signatory may be necessary or incidental to the performance of the foregoing powers herein granted. </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authority of the Designated Filer and the Authorized Signatory under this Document with respect to the Reporting Person shall continue until the Reporting Person is no longer required to file any Reports with respect to the Reporting Person's ownership of, or transactions in, the securities of the Companies, unless earlier revoked in writing. The Reporting Person acknowledges that the Designated Filer and the Authorized Signatory are not assuming any of the Reporting Person's responsibilities to comply with the Act or the Exchange Act.</w:t>
      </w:r>
    </w:p>
    <w:p>
      <w:pPr>
        <w:pStyle w:val="TextBody"/>
        <w:bidi w:val="0"/>
        <w:spacing w:before="0" w:after="0"/>
        <w:ind w:left="0" w:right="0" w:hanging="0"/>
        <w:jc w:val="both"/>
        <w:rPr/>
      </w:pPr>
      <w:r>
        <w:rPr/>
      </w:r>
    </w:p>
    <w:p>
      <w:pPr>
        <w:pStyle w:val="TextBody"/>
        <w:bidi w:val="0"/>
        <w:spacing w:before="0" w:after="0"/>
        <w:ind w:left="0" w:right="0" w:hanging="0"/>
        <w:jc w:val="both"/>
        <w:rPr/>
      </w:pPr>
      <w:r>
        <w:rPr/>
      </w:r>
    </w:p>
    <w:tbl>
      <w:tblPr>
        <w:tblW w:w="5000" w:type="pct"/>
        <w:jc w:val="center"/>
        <w:tblInd w:w="0" w:type="dxa"/>
        <w:tblLayout w:type="fixed"/>
        <w:tblCellMar>
          <w:top w:w="0" w:type="dxa"/>
          <w:left w:w="0" w:type="dxa"/>
          <w:bottom w:w="0" w:type="dxa"/>
          <w:right w:w="0" w:type="dxa"/>
        </w:tblCellMar>
      </w:tblPr>
      <w:tblGrid>
        <w:gridCol w:w="5007"/>
        <w:gridCol w:w="580"/>
        <w:gridCol w:w="4618"/>
      </w:tblGrid>
      <w:tr>
        <w:trPr/>
        <w:tc>
          <w:tcPr>
            <w:tcW w:w="500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4618" w:type="dxa"/>
            <w:tcBorders/>
            <w:vAlign w:val="center"/>
          </w:tcPr>
          <w:p>
            <w:pPr>
              <w:pStyle w:val="TableContents"/>
              <w:bidi w:val="0"/>
              <w:spacing w:before="0" w:after="283"/>
              <w:jc w:val="left"/>
              <w:rPr>
                <w:sz w:val="4"/>
                <w:szCs w:val="4"/>
              </w:rPr>
            </w:pPr>
            <w:r>
              <w:rPr>
                <w:sz w:val="4"/>
                <w:szCs w:val="4"/>
              </w:rPr>
            </w:r>
          </w:p>
        </w:tc>
      </w:tr>
      <w:tr>
        <w:trPr/>
        <w:tc>
          <w:tcPr>
            <w:tcW w:w="5007" w:type="dxa"/>
            <w:tcBorders/>
            <w:vAlign w:val="bottom"/>
          </w:tcPr>
          <w:p>
            <w:pPr>
              <w:pStyle w:val="TableContents"/>
              <w:bidi w:val="0"/>
              <w:spacing w:before="0" w:after="0"/>
              <w:ind w:left="0" w:right="0" w:hanging="0"/>
              <w:jc w:val="left"/>
              <w:rPr>
                <w:sz w:val="22"/>
              </w:rPr>
            </w:pPr>
            <w:r>
              <w:rPr>
                <w:sz w:val="22"/>
              </w:rPr>
              <w:t>June 22, 2023</w:t>
            </w:r>
          </w:p>
        </w:tc>
        <w:tc>
          <w:tcPr>
            <w:tcW w:w="580" w:type="dxa"/>
            <w:tcBorders/>
            <w:vAlign w:val="bottom"/>
          </w:tcPr>
          <w:p>
            <w:pPr>
              <w:pStyle w:val="TableContents"/>
              <w:bidi w:val="0"/>
              <w:spacing w:before="0" w:after="0"/>
              <w:ind w:left="0" w:right="0" w:hanging="0"/>
              <w:jc w:val="left"/>
              <w:rPr>
                <w:sz w:val="22"/>
              </w:rPr>
            </w:pPr>
            <w:r>
              <w:rPr>
                <w:sz w:val="22"/>
              </w:rPr>
              <w:t>By:</w:t>
            </w:r>
          </w:p>
        </w:tc>
        <w:tc>
          <w:tcPr>
            <w:tcW w:w="4618" w:type="dxa"/>
            <w:tcBorders>
              <w:bottom w:val="single" w:sz="6" w:space="0" w:color="000000"/>
            </w:tcBorders>
            <w:tcMar>
              <w:bottom w:w="28" w:type="dxa"/>
            </w:tcMar>
            <w:vAlign w:val="bottom"/>
          </w:tcPr>
          <w:p>
            <w:pPr>
              <w:pStyle w:val="TableContents"/>
              <w:bidi w:val="0"/>
              <w:spacing w:before="0" w:after="0"/>
              <w:ind w:left="0" w:right="0" w:hanging="0"/>
              <w:jc w:val="left"/>
              <w:rPr>
                <w:sz w:val="22"/>
              </w:rPr>
            </w:pPr>
            <w:r>
              <w:rPr>
                <w:sz w:val="22"/>
              </w:rPr>
              <w:t>/s/ Benjamin Horowitz</w:t>
            </w:r>
          </w:p>
        </w:tc>
      </w:tr>
      <w:tr>
        <w:trPr/>
        <w:tc>
          <w:tcPr>
            <w:tcW w:w="5007" w:type="dxa"/>
            <w:tcBorders/>
            <w:vAlign w:val="bottom"/>
          </w:tcPr>
          <w:p>
            <w:pPr>
              <w:pStyle w:val="TableContents"/>
              <w:bidi w:val="0"/>
              <w:spacing w:before="0" w:after="0"/>
              <w:ind w:left="0" w:right="0" w:hanging="0"/>
              <w:jc w:val="left"/>
              <w:rPr/>
            </w:pPr>
            <w:r>
              <w:rPr/>
              <w:t> </w:t>
            </w:r>
          </w:p>
        </w:tc>
        <w:tc>
          <w:tcPr>
            <w:tcW w:w="580" w:type="dxa"/>
            <w:tcBorders/>
            <w:vAlign w:val="bottom"/>
          </w:tcPr>
          <w:p>
            <w:pPr>
              <w:pStyle w:val="TableContents"/>
              <w:bidi w:val="0"/>
              <w:spacing w:before="0" w:after="0"/>
              <w:ind w:left="0" w:right="0" w:hanging="0"/>
              <w:jc w:val="left"/>
              <w:rPr/>
            </w:pPr>
            <w:r>
              <w:rPr/>
              <w:t> </w:t>
            </w:r>
          </w:p>
        </w:tc>
        <w:tc>
          <w:tcPr>
            <w:tcW w:w="4618" w:type="dxa"/>
            <w:tcBorders/>
            <w:vAlign w:val="bottom"/>
          </w:tcPr>
          <w:p>
            <w:pPr>
              <w:pStyle w:val="TableContents"/>
              <w:bidi w:val="0"/>
              <w:spacing w:before="0" w:after="0"/>
              <w:ind w:left="0" w:right="0" w:hanging="0"/>
              <w:jc w:val="left"/>
              <w:rPr>
                <w:sz w:val="22"/>
              </w:rPr>
            </w:pPr>
            <w:r>
              <w:rPr>
                <w:sz w:val="22"/>
              </w:rPr>
              <w:t>Benjamin Horowitz</w:t>
            </w:r>
          </w:p>
        </w:tc>
      </w:tr>
    </w:tbl>
    <w:p>
      <w:pPr>
        <w:pStyle w:val="TextBody"/>
        <w:bidi w:val="0"/>
        <w:spacing w:before="0" w:after="0"/>
        <w:ind w:left="0" w:right="0" w:hanging="0"/>
        <w:jc w:val="both"/>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center"/>
        <w:rPr>
          <w:b/>
          <w:sz w:val="24"/>
        </w:rPr>
      </w:pPr>
      <w:bookmarkStart w:id="56" w:name="ex-99-07272026_090726.htm"/>
      <w:bookmarkStart w:id="57" w:name="ksex9907272026_090726"/>
      <w:bookmarkEnd w:id="56"/>
      <w:bookmarkEnd w:id="57"/>
      <w:r>
        <w:rPr>
          <w:b/>
          <w:sz w:val="24"/>
        </w:rPr>
        <w:t>Exhibit 99.1</w:t>
      </w:r>
      <w:r>
        <w:br w:type="page"/>
      </w:r>
    </w:p>
    <w:p>
      <w:pPr>
        <w:pStyle w:val="TextBody"/>
        <w:bidi w:val="0"/>
        <w:spacing w:before="0" w:after="0"/>
        <w:ind w:left="0" w:right="0" w:hanging="0"/>
        <w:jc w:val="center"/>
        <w:rPr/>
      </w:pPr>
      <w:r>
        <w:rPr/>
        <w:t> </w:t>
      </w:r>
    </w:p>
    <w:p>
      <w:pPr>
        <w:pStyle w:val="TextBody"/>
        <w:bidi w:val="0"/>
        <w:spacing w:before="0" w:after="0"/>
        <w:ind w:left="0" w:right="0" w:hanging="0"/>
        <w:jc w:val="center"/>
        <w:rPr>
          <w:b/>
          <w:sz w:val="24"/>
        </w:rPr>
      </w:pPr>
      <w:r>
        <w:rPr>
          <w:b/>
          <w:sz w:val="24"/>
        </w:rPr>
        <w:t>Joint Filing Agreement</w:t>
      </w:r>
    </w:p>
    <w:p>
      <w:pPr>
        <w:pStyle w:val="TextBody"/>
        <w:bidi w:val="0"/>
        <w:spacing w:before="0" w:after="0"/>
        <w:ind w:left="0" w:right="0" w:hanging="0"/>
        <w:jc w:val="center"/>
        <w:rPr/>
      </w:pPr>
      <w:r>
        <w:rPr/>
        <w:t> </w:t>
      </w:r>
    </w:p>
    <w:p>
      <w:pPr>
        <w:pStyle w:val="TextBody"/>
        <w:bidi w:val="0"/>
        <w:spacing w:before="0" w:after="0"/>
        <w:ind w:left="0" w:right="0" w:firstLine="720"/>
        <w:jc w:val="both"/>
        <w:rPr>
          <w:sz w:val="24"/>
        </w:rPr>
      </w:pPr>
      <w:r>
        <w:rPr>
          <w:sz w:val="24"/>
        </w:rPr>
        <w:t>The undersigned hereby agree that a single Schedule 13G (or any amendment thereto) relating to the Common Stock of Freenome, Inc. shall be filed on behalf of each of the undersigned and that this Agreement shall be filed as an exhibit to such Schedule 13G.</w:t>
      </w:r>
    </w:p>
    <w:p>
      <w:pPr>
        <w:pStyle w:val="TextBody"/>
        <w:bidi w:val="0"/>
        <w:spacing w:before="0" w:after="0"/>
        <w:ind w:left="0" w:right="0" w:hanging="0"/>
        <w:jc w:val="both"/>
        <w:rPr/>
      </w:pPr>
      <w:r>
        <w:rPr/>
      </w:r>
    </w:p>
    <w:p>
      <w:pPr>
        <w:pStyle w:val="TextBody"/>
        <w:bidi w:val="0"/>
        <w:spacing w:before="0" w:after="0"/>
        <w:ind w:left="0" w:right="0" w:hanging="0"/>
        <w:jc w:val="left"/>
        <w:rPr>
          <w:sz w:val="24"/>
        </w:rPr>
      </w:pPr>
      <w:r>
        <w:rPr>
          <w:sz w:val="24"/>
        </w:rPr>
        <w:t>Date: July 27, 2026</w:t>
      </w:r>
    </w:p>
    <w:p>
      <w:pPr>
        <w:pStyle w:val="TextBody"/>
        <w:bidi w:val="0"/>
        <w:spacing w:before="0" w:after="0"/>
        <w:ind w:left="0" w:right="0" w:hanging="0"/>
        <w:jc w:val="left"/>
        <w:rPr/>
      </w:pPr>
      <w:r>
        <w:rPr/>
      </w:r>
    </w:p>
    <w:p>
      <w:pPr>
        <w:pStyle w:val="TextBody"/>
        <w:pBdr/>
        <w:bidi w:val="0"/>
        <w:spacing w:before="0" w:after="0"/>
        <w:ind w:left="0" w:right="0" w:hanging="0"/>
        <w:jc w:val="left"/>
        <w:rPr>
          <w:b/>
          <w:sz w:val="24"/>
        </w:rPr>
      </w:pPr>
      <w:r>
        <w:rPr>
          <w:b/>
          <w:sz w:val="24"/>
        </w:rPr>
        <w:t>AH Bio Fund I, L.P.</w:t>
      </w:r>
    </w:p>
    <w:p>
      <w:pPr>
        <w:pStyle w:val="TextBody"/>
        <w:pBdr/>
        <w:bidi w:val="0"/>
        <w:spacing w:before="0" w:after="0"/>
        <w:ind w:left="0" w:right="0" w:hanging="0"/>
        <w:jc w:val="left"/>
        <w:rPr>
          <w:b/>
          <w:sz w:val="24"/>
        </w:rPr>
      </w:pPr>
      <w:r>
        <w:rPr>
          <w:b/>
          <w:sz w:val="24"/>
        </w:rPr>
        <w:t xml:space="preserve">for itself and as nominee for </w:t>
      </w:r>
    </w:p>
    <w:p>
      <w:pPr>
        <w:pStyle w:val="TextBody"/>
        <w:pBdr/>
        <w:bidi w:val="0"/>
        <w:spacing w:before="0" w:after="0"/>
        <w:ind w:left="0" w:right="0" w:hanging="0"/>
        <w:jc w:val="left"/>
        <w:rPr>
          <w:b/>
          <w:sz w:val="24"/>
        </w:rPr>
      </w:pPr>
      <w:r>
        <w:rPr>
          <w:b/>
          <w:sz w:val="24"/>
        </w:rPr>
        <w:t xml:space="preserve">AH Bio Fund I-B, L.P. </w:t>
      </w:r>
    </w:p>
    <w:p>
      <w:pPr>
        <w:pStyle w:val="TextBody"/>
        <w:bidi w:val="0"/>
        <w:spacing w:before="0" w:after="0"/>
        <w:ind w:left="0" w:right="0" w:hanging="0"/>
        <w:jc w:val="left"/>
        <w:rPr/>
      </w:pPr>
      <w:r>
        <w:rPr/>
      </w:r>
    </w:p>
    <w:p>
      <w:pPr>
        <w:pStyle w:val="TextBody"/>
        <w:pBdr/>
        <w:bidi w:val="0"/>
        <w:spacing w:before="0" w:after="0"/>
        <w:ind w:left="0" w:right="0" w:hanging="0"/>
        <w:jc w:val="left"/>
        <w:rPr>
          <w:sz w:val="24"/>
        </w:rPr>
      </w:pPr>
      <w:r>
        <w:rPr>
          <w:sz w:val="24"/>
        </w:rPr>
        <w:t>By: AH Equity Partners Bio I, L.L.C.</w:t>
      </w:r>
    </w:p>
    <w:p>
      <w:pPr>
        <w:pStyle w:val="TextBody"/>
        <w:pBdr/>
        <w:bidi w:val="0"/>
        <w:spacing w:before="0" w:after="0"/>
        <w:ind w:left="0" w:right="0" w:hanging="0"/>
        <w:jc w:val="left"/>
        <w:rPr>
          <w:sz w:val="24"/>
        </w:rPr>
      </w:pPr>
      <w:r>
        <w:rPr>
          <w:sz w:val="24"/>
        </w:rPr>
        <w:t>Its: General Partner</w:t>
      </w:r>
    </w:p>
    <w:p>
      <w:pPr>
        <w:pStyle w:val="TextBody"/>
        <w:bidi w:val="0"/>
        <w:spacing w:before="0" w:after="0"/>
        <w:ind w:left="0" w:right="0" w:hanging="0"/>
        <w:jc w:val="left"/>
        <w:rPr/>
      </w:pPr>
      <w:r>
        <w:rPr/>
      </w:r>
    </w:p>
    <w:p>
      <w:pPr>
        <w:pStyle w:val="TextBody"/>
        <w:pBdr/>
        <w:bidi w:val="0"/>
        <w:spacing w:before="0" w:after="0"/>
        <w:ind w:left="0" w:right="0" w:hanging="30"/>
        <w:jc w:val="left"/>
        <w:rPr>
          <w:sz w:val="24"/>
          <w:u w:val="single"/>
        </w:rPr>
      </w:pPr>
      <w:r>
        <w:rPr>
          <w:sz w:val="24"/>
          <w:u w:val="single"/>
        </w:rPr>
        <w:t>/s/ Phil Hathaway</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581025" cy="175260"/>
                <wp:effectExtent l="0" t="0" r="0" b="0"/>
                <wp:wrapSquare wrapText="right"/>
                <wp:docPr id="45" name="Frame1"/>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extBody"/>
                              <w:bidi w:val="0"/>
                              <w:spacing w:before="0" w:after="283"/>
                              <w:jc w:val="left"/>
                              <w:rPr>
                                <w:sz w:val="24"/>
                              </w:rPr>
                            </w:pPr>
                            <w:r>
                              <w:rPr>
                                <w:sz w:val="24"/>
                              </w:rPr>
                              <w:t>By:</w:t>
                            </w:r>
                          </w:p>
                        </w:txbxContent>
                      </wps:txbx>
                      <wps:bodyPr anchor="t" lIns="0" tIns="0" rIns="0" bIns="0">
                        <a:noAutofit/>
                      </wps:bodyPr>
                    </wps:wsp>
                  </a:graphicData>
                </a:graphic>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By:</w:t>
                      </w:r>
                    </w:p>
                  </w:txbxContent>
                </v:textbox>
                <w10:wrap type="square" side="right"/>
              </v:rect>
            </w:pict>
          </mc:Fallback>
        </mc:AlternateContent>
      </w:r>
    </w:p>
    <w:p>
      <w:pPr>
        <w:pStyle w:val="TextBody"/>
        <w:pBdr/>
        <w:bidi w:val="0"/>
        <w:spacing w:before="0" w:after="0"/>
        <w:ind w:left="0" w:right="0" w:firstLine="915"/>
        <w:jc w:val="left"/>
        <w:rPr>
          <w:sz w:val="24"/>
        </w:rPr>
      </w:pPr>
      <w:r>
        <w:rPr>
          <w:sz w:val="24"/>
        </w:rPr>
        <w:t>Phil Hathaway, Chief Operating Officer</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hanging="0"/>
        <w:jc w:val="left"/>
        <w:rPr>
          <w:b/>
          <w:sz w:val="24"/>
        </w:rPr>
      </w:pPr>
      <w:r>
        <w:rPr>
          <w:b/>
          <w:sz w:val="24"/>
        </w:rPr>
        <w:t>AH Equity Partners Bio I, L.L.C.</w:t>
      </w:r>
    </w:p>
    <w:p>
      <w:pPr>
        <w:pStyle w:val="TextBody"/>
        <w:bidi w:val="0"/>
        <w:spacing w:before="0" w:after="0"/>
        <w:ind w:left="0" w:right="0" w:hanging="0"/>
        <w:jc w:val="left"/>
        <w:rPr/>
      </w:pPr>
      <w:r>
        <w:rPr/>
      </w:r>
    </w:p>
    <w:p>
      <w:pPr>
        <w:pStyle w:val="TextBody"/>
        <w:pBdr/>
        <w:bidi w:val="0"/>
        <w:spacing w:before="0" w:after="0"/>
        <w:ind w:left="0" w:right="0" w:hanging="30"/>
        <w:jc w:val="left"/>
        <w:rPr>
          <w:sz w:val="24"/>
          <w:u w:val="single"/>
        </w:rPr>
      </w:pPr>
      <w:r>
        <w:rPr>
          <w:sz w:val="24"/>
          <w:u w:val="single"/>
        </w:rPr>
        <w:t>/s/ Phil Hathaway</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581025" cy="175260"/>
                <wp:effectExtent l="0" t="0" r="0" b="0"/>
                <wp:wrapSquare wrapText="right"/>
                <wp:docPr id="46" name="Frame2"/>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extBody"/>
                              <w:bidi w:val="0"/>
                              <w:spacing w:before="0" w:after="283"/>
                              <w:jc w:val="left"/>
                              <w:rPr>
                                <w:sz w:val="24"/>
                              </w:rPr>
                            </w:pPr>
                            <w:r>
                              <w:rPr>
                                <w:sz w:val="24"/>
                              </w:rPr>
                              <w:t>By:</w:t>
                            </w:r>
                          </w:p>
                        </w:txbxContent>
                      </wps:txbx>
                      <wps:bodyPr anchor="t" lIns="0" tIns="0" rIns="0" bIns="0">
                        <a:noAutofit/>
                      </wps:bodyPr>
                    </wps:wsp>
                  </a:graphicData>
                </a:graphic>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By:</w:t>
                      </w:r>
                    </w:p>
                  </w:txbxContent>
                </v:textbox>
                <w10:wrap type="square" side="right"/>
              </v:rect>
            </w:pict>
          </mc:Fallback>
        </mc:AlternateContent>
      </w:r>
    </w:p>
    <w:p>
      <w:pPr>
        <w:pStyle w:val="TextBody"/>
        <w:pBdr/>
        <w:bidi w:val="0"/>
        <w:spacing w:before="0" w:after="0"/>
        <w:ind w:left="0" w:right="0" w:firstLine="915"/>
        <w:jc w:val="left"/>
        <w:rPr>
          <w:sz w:val="24"/>
        </w:rPr>
      </w:pPr>
      <w:r>
        <w:rPr>
          <w:sz w:val="24"/>
        </w:rPr>
        <w:t>Phil Hathaway, Chief Operating Officer</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hanging="0"/>
        <w:jc w:val="left"/>
        <w:rPr>
          <w:b/>
          <w:sz w:val="24"/>
        </w:rPr>
      </w:pPr>
      <w:r>
        <w:rPr>
          <w:b/>
          <w:sz w:val="24"/>
        </w:rPr>
        <w:t>Andreessen Horowitz LSV Fund II, L.P.</w:t>
      </w:r>
    </w:p>
    <w:p>
      <w:pPr>
        <w:pStyle w:val="TextBody"/>
        <w:pBdr/>
        <w:bidi w:val="0"/>
        <w:spacing w:before="0" w:after="0"/>
        <w:ind w:left="0" w:right="0" w:hanging="0"/>
        <w:jc w:val="left"/>
        <w:rPr>
          <w:b/>
          <w:sz w:val="24"/>
        </w:rPr>
      </w:pPr>
      <w:r>
        <w:rPr>
          <w:b/>
          <w:sz w:val="24"/>
        </w:rPr>
        <w:t xml:space="preserve">for itself and as nominee for </w:t>
      </w:r>
    </w:p>
    <w:p>
      <w:pPr>
        <w:pStyle w:val="TextBody"/>
        <w:pBdr/>
        <w:bidi w:val="0"/>
        <w:spacing w:before="0" w:after="0"/>
        <w:ind w:left="0" w:right="0" w:hanging="0"/>
        <w:jc w:val="left"/>
        <w:rPr>
          <w:b/>
          <w:sz w:val="24"/>
        </w:rPr>
      </w:pPr>
      <w:r>
        <w:rPr>
          <w:b/>
          <w:sz w:val="24"/>
        </w:rPr>
        <w:t xml:space="preserve">Andreessen Horowitz LSV Fund II-B, L.P. and </w:t>
      </w:r>
    </w:p>
    <w:p>
      <w:pPr>
        <w:pStyle w:val="TextBody"/>
        <w:pBdr/>
        <w:bidi w:val="0"/>
        <w:spacing w:before="0" w:after="0"/>
        <w:ind w:left="0" w:right="0" w:hanging="0"/>
        <w:jc w:val="left"/>
        <w:rPr>
          <w:b/>
          <w:sz w:val="24"/>
        </w:rPr>
      </w:pPr>
      <w:r>
        <w:rPr>
          <w:b/>
          <w:sz w:val="24"/>
        </w:rPr>
        <w:t>Andreessen Horowitz LSV Fund II-Q, L.P.</w:t>
      </w:r>
    </w:p>
    <w:p>
      <w:pPr>
        <w:pStyle w:val="TextBody"/>
        <w:bidi w:val="0"/>
        <w:spacing w:before="0" w:after="0"/>
        <w:ind w:left="0" w:right="0" w:hanging="0"/>
        <w:jc w:val="left"/>
        <w:rPr/>
      </w:pPr>
      <w:r>
        <w:rPr/>
      </w:r>
    </w:p>
    <w:p>
      <w:pPr>
        <w:pStyle w:val="TextBody"/>
        <w:pBdr/>
        <w:bidi w:val="0"/>
        <w:spacing w:before="0" w:after="0"/>
        <w:ind w:left="0" w:right="0" w:hanging="0"/>
        <w:jc w:val="left"/>
        <w:rPr>
          <w:sz w:val="24"/>
        </w:rPr>
      </w:pPr>
      <w:r>
        <w:rPr>
          <w:sz w:val="24"/>
        </w:rPr>
        <w:t>By: AH Equity Partners LSV II, L.L.C.</w:t>
      </w:r>
    </w:p>
    <w:p>
      <w:pPr>
        <w:pStyle w:val="TextBody"/>
        <w:pBdr/>
        <w:bidi w:val="0"/>
        <w:spacing w:before="0" w:after="0"/>
        <w:ind w:left="0" w:right="0" w:hanging="0"/>
        <w:jc w:val="left"/>
        <w:rPr>
          <w:sz w:val="24"/>
        </w:rPr>
      </w:pPr>
      <w:r>
        <w:rPr>
          <w:sz w:val="24"/>
        </w:rPr>
        <w:t>Its: General Partner</w:t>
      </w:r>
    </w:p>
    <w:p>
      <w:pPr>
        <w:pStyle w:val="TextBody"/>
        <w:bidi w:val="0"/>
        <w:spacing w:before="0" w:after="0"/>
        <w:ind w:left="0" w:right="0" w:hanging="0"/>
        <w:jc w:val="left"/>
        <w:rPr/>
      </w:pPr>
      <w:r>
        <w:rPr/>
      </w:r>
    </w:p>
    <w:p>
      <w:pPr>
        <w:pStyle w:val="TextBody"/>
        <w:pBdr/>
        <w:bidi w:val="0"/>
        <w:spacing w:before="0" w:after="0"/>
        <w:ind w:left="0" w:right="0" w:hanging="30"/>
        <w:jc w:val="left"/>
        <w:rPr>
          <w:sz w:val="24"/>
          <w:u w:val="single"/>
        </w:rPr>
      </w:pPr>
      <w:r>
        <w:rPr>
          <w:sz w:val="24"/>
          <w:u w:val="single"/>
        </w:rPr>
        <w:t>/s/ Phil Hathaway</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581025" cy="175260"/>
                <wp:effectExtent l="0" t="0" r="0" b="0"/>
                <wp:wrapSquare wrapText="right"/>
                <wp:docPr id="47" name="Frame3"/>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extBody"/>
                              <w:bidi w:val="0"/>
                              <w:spacing w:before="0" w:after="283"/>
                              <w:jc w:val="left"/>
                              <w:rPr>
                                <w:sz w:val="24"/>
                              </w:rPr>
                            </w:pPr>
                            <w:r>
                              <w:rPr>
                                <w:sz w:val="24"/>
                              </w:rPr>
                              <w:t>By:</w:t>
                            </w:r>
                          </w:p>
                        </w:txbxContent>
                      </wps:txbx>
                      <wps:bodyPr anchor="t" lIns="0" tIns="0" rIns="0" bIns="0">
                        <a:noAutofit/>
                      </wps:bodyPr>
                    </wps:wsp>
                  </a:graphicData>
                </a:graphic>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By:</w:t>
                      </w:r>
                    </w:p>
                  </w:txbxContent>
                </v:textbox>
                <w10:wrap type="square" side="right"/>
              </v:rect>
            </w:pict>
          </mc:Fallback>
        </mc:AlternateContent>
      </w:r>
    </w:p>
    <w:p>
      <w:pPr>
        <w:pStyle w:val="TextBody"/>
        <w:pBdr/>
        <w:bidi w:val="0"/>
        <w:spacing w:before="0" w:after="0"/>
        <w:ind w:left="0" w:right="0" w:firstLine="915"/>
        <w:jc w:val="left"/>
        <w:rPr>
          <w:sz w:val="24"/>
        </w:rPr>
      </w:pPr>
      <w:r>
        <w:rPr>
          <w:sz w:val="24"/>
        </w:rPr>
        <w:t>Phil Hathaway, Chief Operating Officer</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hanging="0"/>
        <w:jc w:val="left"/>
        <w:rPr>
          <w:b/>
          <w:sz w:val="24"/>
        </w:rPr>
      </w:pPr>
      <w:r>
        <w:rPr>
          <w:b/>
          <w:sz w:val="24"/>
        </w:rPr>
        <w:t>AH Equity Partners LSV II, L.L.C.</w:t>
      </w:r>
    </w:p>
    <w:p>
      <w:pPr>
        <w:pStyle w:val="TextBody"/>
        <w:bidi w:val="0"/>
        <w:spacing w:before="0" w:after="0"/>
        <w:ind w:left="0" w:right="0" w:hanging="0"/>
        <w:jc w:val="left"/>
        <w:rPr/>
      </w:pPr>
      <w:r>
        <w:rPr/>
      </w:r>
    </w:p>
    <w:p>
      <w:pPr>
        <w:pStyle w:val="TextBody"/>
        <w:pBdr/>
        <w:bidi w:val="0"/>
        <w:spacing w:before="0" w:after="0"/>
        <w:ind w:left="0" w:right="0" w:hanging="30"/>
        <w:jc w:val="left"/>
        <w:rPr>
          <w:sz w:val="24"/>
          <w:u w:val="single"/>
        </w:rPr>
      </w:pPr>
      <w:r>
        <w:rPr>
          <w:sz w:val="24"/>
          <w:u w:val="single"/>
        </w:rPr>
        <w:t>/s/ Phil Hathaway</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581025" cy="175260"/>
                <wp:effectExtent l="0" t="0" r="0" b="0"/>
                <wp:wrapSquare wrapText="right"/>
                <wp:docPr id="48" name="Frame4"/>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extBody"/>
                              <w:bidi w:val="0"/>
                              <w:spacing w:before="0" w:after="283"/>
                              <w:jc w:val="left"/>
                              <w:rPr>
                                <w:sz w:val="24"/>
                              </w:rPr>
                            </w:pPr>
                            <w:r>
                              <w:rPr>
                                <w:sz w:val="24"/>
                              </w:rPr>
                              <w:t>By:</w:t>
                            </w:r>
                          </w:p>
                        </w:txbxContent>
                      </wps:txbx>
                      <wps:bodyPr anchor="t" lIns="0" tIns="0" rIns="0" bIns="0">
                        <a:noAutofit/>
                      </wps:bodyPr>
                    </wps:wsp>
                  </a:graphicData>
                </a:graphic>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By:</w:t>
                      </w:r>
                    </w:p>
                  </w:txbxContent>
                </v:textbox>
                <w10:wrap type="square" side="right"/>
              </v:rect>
            </w:pict>
          </mc:Fallback>
        </mc:AlternateContent>
      </w:r>
    </w:p>
    <w:p>
      <w:pPr>
        <w:pStyle w:val="TextBody"/>
        <w:pBdr/>
        <w:bidi w:val="0"/>
        <w:spacing w:before="0" w:after="0"/>
        <w:ind w:left="0" w:right="0" w:firstLine="915"/>
        <w:jc w:val="left"/>
        <w:rPr>
          <w:sz w:val="24"/>
        </w:rPr>
      </w:pPr>
      <w:r>
        <w:rPr>
          <w:sz w:val="24"/>
        </w:rPr>
        <w:t>Phil Hathaway, Chief Operating Officer</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hanging="0"/>
        <w:jc w:val="left"/>
        <w:rPr>
          <w:b/>
          <w:sz w:val="24"/>
        </w:rPr>
      </w:pPr>
      <w:r>
        <w:rPr>
          <w:b/>
          <w:sz w:val="24"/>
        </w:rPr>
        <w:t>CLF Partners, LP</w:t>
      </w:r>
    </w:p>
    <w:p>
      <w:pPr>
        <w:pStyle w:val="TextBody"/>
        <w:bidi w:val="0"/>
        <w:spacing w:before="0" w:after="0"/>
        <w:ind w:left="0" w:right="0" w:hanging="0"/>
        <w:jc w:val="left"/>
        <w:rPr/>
      </w:pPr>
      <w:r>
        <w:rPr/>
      </w:r>
    </w:p>
    <w:p>
      <w:pPr>
        <w:pStyle w:val="TextBody"/>
        <w:pBdr/>
        <w:bidi w:val="0"/>
        <w:spacing w:before="0" w:after="0"/>
        <w:ind w:left="0" w:right="0" w:hanging="0"/>
        <w:jc w:val="left"/>
        <w:rPr>
          <w:sz w:val="24"/>
        </w:rPr>
      </w:pPr>
      <w:r>
        <w:rPr>
          <w:sz w:val="24"/>
        </w:rPr>
        <w:t>By: AH Equity Partners V, L.L.C.</w:t>
      </w:r>
    </w:p>
    <w:p>
      <w:pPr>
        <w:pStyle w:val="TextBody"/>
        <w:pBdr/>
        <w:bidi w:val="0"/>
        <w:spacing w:before="0" w:after="0"/>
        <w:ind w:left="0" w:right="0" w:hanging="0"/>
        <w:jc w:val="left"/>
        <w:rPr>
          <w:sz w:val="24"/>
        </w:rPr>
      </w:pPr>
      <w:r>
        <w:rPr>
          <w:sz w:val="24"/>
        </w:rPr>
        <w:t>Its: General Partner</w:t>
      </w:r>
    </w:p>
    <w:p>
      <w:pPr>
        <w:pStyle w:val="TextBody"/>
        <w:bidi w:val="0"/>
        <w:spacing w:before="0" w:after="0"/>
        <w:ind w:left="0" w:right="0" w:hanging="0"/>
        <w:jc w:val="left"/>
        <w:rPr/>
      </w:pPr>
      <w:r>
        <w:rPr/>
      </w:r>
    </w:p>
    <w:p>
      <w:pPr>
        <w:pStyle w:val="TextBody"/>
        <w:pBdr/>
        <w:bidi w:val="0"/>
        <w:spacing w:before="0" w:after="0"/>
        <w:ind w:left="0" w:right="0" w:hanging="30"/>
        <w:jc w:val="left"/>
        <w:rPr>
          <w:sz w:val="24"/>
          <w:u w:val="single"/>
        </w:rPr>
      </w:pPr>
      <w:r>
        <w:rPr>
          <w:sz w:val="24"/>
          <w:u w:val="single"/>
        </w:rPr>
        <w:t>/s/ Phil Hathaway</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581025" cy="175260"/>
                <wp:effectExtent l="0" t="0" r="0" b="0"/>
                <wp:wrapSquare wrapText="right"/>
                <wp:docPr id="49" name="Frame5"/>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extBody"/>
                              <w:bidi w:val="0"/>
                              <w:spacing w:before="0" w:after="283"/>
                              <w:jc w:val="left"/>
                              <w:rPr>
                                <w:sz w:val="24"/>
                              </w:rPr>
                            </w:pPr>
                            <w:r>
                              <w:rPr>
                                <w:sz w:val="24"/>
                              </w:rPr>
                              <w:t>By:</w:t>
                            </w:r>
                          </w:p>
                        </w:txbxContent>
                      </wps:txbx>
                      <wps:bodyPr anchor="t" lIns="0" tIns="0" rIns="0" bIns="0">
                        <a:noAutofit/>
                      </wps:bodyPr>
                    </wps:wsp>
                  </a:graphicData>
                </a:graphic>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By:</w:t>
                      </w:r>
                    </w:p>
                  </w:txbxContent>
                </v:textbox>
                <w10:wrap type="square" side="right"/>
              </v:rect>
            </w:pict>
          </mc:Fallback>
        </mc:AlternateContent>
      </w:r>
    </w:p>
    <w:p>
      <w:pPr>
        <w:pStyle w:val="TextBody"/>
        <w:pBdr/>
        <w:bidi w:val="0"/>
        <w:spacing w:before="0" w:after="0"/>
        <w:ind w:left="0" w:right="0" w:firstLine="915"/>
        <w:jc w:val="left"/>
        <w:rPr>
          <w:sz w:val="24"/>
        </w:rPr>
      </w:pPr>
      <w:r>
        <w:rPr>
          <w:sz w:val="24"/>
        </w:rPr>
        <w:t>Phil Hathaway, Chief Operating Officer</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HorizontalLine"/>
        <w:pBdr>
          <w:bottom w:val="single" w:sz="6" w:space="0" w:color="808080"/>
        </w:pBdr>
        <w:bidi w:val="0"/>
        <w:jc w:val="left"/>
        <w:rPr/>
      </w:pPr>
      <w:r>
        <w:rPr/>
      </w:r>
      <w:r>
        <w:br w:type="page"/>
      </w:r>
    </w:p>
    <w:p>
      <w:pPr>
        <w:pStyle w:val="TextBody"/>
        <w:pBdr/>
        <w:bidi w:val="0"/>
        <w:spacing w:before="0" w:after="0"/>
        <w:ind w:left="0" w:right="0" w:hanging="0"/>
        <w:jc w:val="left"/>
        <w:rPr>
          <w:b/>
          <w:sz w:val="24"/>
        </w:rPr>
      </w:pPr>
      <w:r>
        <w:rPr>
          <w:b/>
          <w:sz w:val="24"/>
        </w:rPr>
        <w:t>AH Parallel Fund IV, L.P.</w:t>
      </w:r>
    </w:p>
    <w:p>
      <w:pPr>
        <w:pStyle w:val="TextBody"/>
        <w:pBdr/>
        <w:bidi w:val="0"/>
        <w:spacing w:before="0" w:after="0"/>
        <w:ind w:left="0" w:right="0" w:hanging="0"/>
        <w:jc w:val="left"/>
        <w:rPr>
          <w:b/>
          <w:sz w:val="24"/>
        </w:rPr>
      </w:pPr>
      <w:r>
        <w:rPr>
          <w:b/>
          <w:sz w:val="24"/>
        </w:rPr>
        <w:t xml:space="preserve">for itself and as nominee for </w:t>
      </w:r>
    </w:p>
    <w:p>
      <w:pPr>
        <w:pStyle w:val="TextBody"/>
        <w:pBdr/>
        <w:bidi w:val="0"/>
        <w:spacing w:before="0" w:after="0"/>
        <w:ind w:left="0" w:right="0" w:hanging="0"/>
        <w:jc w:val="left"/>
        <w:rPr>
          <w:b/>
          <w:sz w:val="24"/>
        </w:rPr>
      </w:pPr>
      <w:r>
        <w:rPr>
          <w:b/>
          <w:sz w:val="24"/>
        </w:rPr>
        <w:t>AH Parallel Fund IV-A, L.P.,</w:t>
      </w:r>
    </w:p>
    <w:p>
      <w:pPr>
        <w:pStyle w:val="TextBody"/>
        <w:pBdr/>
        <w:bidi w:val="0"/>
        <w:spacing w:before="0" w:after="0"/>
        <w:ind w:left="0" w:right="0" w:hanging="0"/>
        <w:jc w:val="left"/>
        <w:rPr>
          <w:b/>
          <w:sz w:val="24"/>
        </w:rPr>
      </w:pPr>
      <w:r>
        <w:rPr>
          <w:b/>
          <w:sz w:val="24"/>
        </w:rPr>
        <w:t>AH Parallel Fund IV-B, L.P. and</w:t>
      </w:r>
    </w:p>
    <w:p>
      <w:pPr>
        <w:pStyle w:val="TextBody"/>
        <w:pBdr/>
        <w:bidi w:val="0"/>
        <w:spacing w:before="0" w:after="0"/>
        <w:ind w:left="0" w:right="0" w:hanging="0"/>
        <w:jc w:val="left"/>
        <w:rPr>
          <w:b/>
          <w:sz w:val="24"/>
        </w:rPr>
      </w:pPr>
      <w:r>
        <w:rPr>
          <w:b/>
          <w:sz w:val="24"/>
        </w:rPr>
        <w:t>AH Parallel Fund IV-Q, L.P.</w:t>
      </w:r>
    </w:p>
    <w:p>
      <w:pPr>
        <w:pStyle w:val="TextBody"/>
        <w:bidi w:val="0"/>
        <w:spacing w:before="0" w:after="0"/>
        <w:ind w:left="0" w:right="0" w:hanging="0"/>
        <w:jc w:val="left"/>
        <w:rPr/>
      </w:pPr>
      <w:r>
        <w:rPr/>
      </w:r>
    </w:p>
    <w:p>
      <w:pPr>
        <w:pStyle w:val="TextBody"/>
        <w:pBdr/>
        <w:bidi w:val="0"/>
        <w:spacing w:before="0" w:after="0"/>
        <w:ind w:left="0" w:right="0" w:hanging="0"/>
        <w:jc w:val="left"/>
        <w:rPr>
          <w:sz w:val="24"/>
        </w:rPr>
      </w:pPr>
      <w:r>
        <w:rPr>
          <w:sz w:val="24"/>
        </w:rPr>
        <w:t>By: AH Equity Partners IV (Parallel), L.L.C.</w:t>
      </w:r>
    </w:p>
    <w:p>
      <w:pPr>
        <w:pStyle w:val="TextBody"/>
        <w:pBdr/>
        <w:bidi w:val="0"/>
        <w:spacing w:before="0" w:after="0"/>
        <w:ind w:left="0" w:right="0" w:hanging="0"/>
        <w:jc w:val="left"/>
        <w:rPr>
          <w:sz w:val="24"/>
        </w:rPr>
      </w:pPr>
      <w:r>
        <w:rPr>
          <w:sz w:val="24"/>
        </w:rPr>
        <w:t>Its: General Partner</w:t>
      </w:r>
    </w:p>
    <w:p>
      <w:pPr>
        <w:pStyle w:val="TextBody"/>
        <w:bidi w:val="0"/>
        <w:spacing w:before="0" w:after="0"/>
        <w:ind w:left="0" w:right="0" w:hanging="0"/>
        <w:jc w:val="left"/>
        <w:rPr/>
      </w:pPr>
      <w:r>
        <w:rPr/>
      </w:r>
    </w:p>
    <w:p>
      <w:pPr>
        <w:pStyle w:val="TextBody"/>
        <w:pBdr/>
        <w:bidi w:val="0"/>
        <w:spacing w:before="0" w:after="0"/>
        <w:ind w:left="0" w:right="0" w:hanging="30"/>
        <w:jc w:val="left"/>
        <w:rPr>
          <w:sz w:val="24"/>
          <w:u w:val="single"/>
        </w:rPr>
      </w:pPr>
      <w:r>
        <w:rPr>
          <w:sz w:val="24"/>
          <w:u w:val="single"/>
        </w:rPr>
        <w:t>/s/ Phil Hathaway</w: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581025" cy="175260"/>
                <wp:effectExtent l="0" t="0" r="0" b="0"/>
                <wp:wrapSquare wrapText="right"/>
                <wp:docPr id="50" name="Frame6"/>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extBody"/>
                              <w:bidi w:val="0"/>
                              <w:spacing w:before="0" w:after="283"/>
                              <w:jc w:val="left"/>
                              <w:rPr>
                                <w:sz w:val="24"/>
                              </w:rPr>
                            </w:pPr>
                            <w:r>
                              <w:rPr>
                                <w:sz w:val="24"/>
                              </w:rPr>
                              <w:t>By:</w:t>
                            </w:r>
                          </w:p>
                        </w:txbxContent>
                      </wps:txbx>
                      <wps:bodyPr anchor="t" lIns="0" tIns="0" rIns="0" bIns="0">
                        <a:noAutofit/>
                      </wps:bodyPr>
                    </wps:wsp>
                  </a:graphicData>
                </a:graphic>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By:</w:t>
                      </w:r>
                    </w:p>
                  </w:txbxContent>
                </v:textbox>
                <w10:wrap type="square" side="right"/>
              </v:rect>
            </w:pict>
          </mc:Fallback>
        </mc:AlternateContent>
      </w:r>
    </w:p>
    <w:p>
      <w:pPr>
        <w:pStyle w:val="TextBody"/>
        <w:pBdr/>
        <w:bidi w:val="0"/>
        <w:spacing w:before="0" w:after="0"/>
        <w:ind w:left="0" w:right="0" w:firstLine="915"/>
        <w:jc w:val="left"/>
        <w:rPr>
          <w:sz w:val="24"/>
        </w:rPr>
      </w:pPr>
      <w:r>
        <w:rPr>
          <w:sz w:val="24"/>
        </w:rPr>
        <w:t>Phil Hathaway, Chief Operating Officer</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hanging="0"/>
        <w:jc w:val="left"/>
        <w:rPr>
          <w:b/>
          <w:sz w:val="24"/>
        </w:rPr>
      </w:pPr>
      <w:r>
        <w:rPr>
          <w:b/>
          <w:sz w:val="24"/>
        </w:rPr>
        <w:t>AH Equity Partners IV (Parallel), L.L.C.</w:t>
      </w:r>
    </w:p>
    <w:p>
      <w:pPr>
        <w:pStyle w:val="TextBody"/>
        <w:bidi w:val="0"/>
        <w:spacing w:before="0" w:after="0"/>
        <w:ind w:left="0" w:right="0" w:hanging="0"/>
        <w:jc w:val="left"/>
        <w:rPr/>
      </w:pPr>
      <w:r>
        <w:rPr/>
      </w:r>
    </w:p>
    <w:p>
      <w:pPr>
        <w:pStyle w:val="TextBody"/>
        <w:pBdr/>
        <w:bidi w:val="0"/>
        <w:spacing w:before="0" w:after="0"/>
        <w:ind w:left="0" w:right="0" w:hanging="30"/>
        <w:jc w:val="left"/>
        <w:rPr>
          <w:sz w:val="24"/>
          <w:u w:val="single"/>
        </w:rPr>
      </w:pPr>
      <w:r>
        <w:rPr>
          <w:sz w:val="24"/>
          <w:u w:val="single"/>
        </w:rPr>
        <w:t>/s/ Phil Hathaway</w:t>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581025" cy="175260"/>
                <wp:effectExtent l="0" t="0" r="0" b="0"/>
                <wp:wrapSquare wrapText="right"/>
                <wp:docPr id="51" name="Frame7"/>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extBody"/>
                              <w:bidi w:val="0"/>
                              <w:spacing w:before="0" w:after="283"/>
                              <w:jc w:val="left"/>
                              <w:rPr>
                                <w:sz w:val="24"/>
                              </w:rPr>
                            </w:pPr>
                            <w:r>
                              <w:rPr>
                                <w:sz w:val="24"/>
                              </w:rPr>
                              <w:t>By:</w:t>
                            </w:r>
                          </w:p>
                        </w:txbxContent>
                      </wps:txbx>
                      <wps:bodyPr anchor="t" lIns="0" tIns="0" rIns="0" bIns="0">
                        <a:noAutofit/>
                      </wps:bodyPr>
                    </wps:wsp>
                  </a:graphicData>
                </a:graphic>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By:</w:t>
                      </w:r>
                    </w:p>
                  </w:txbxContent>
                </v:textbox>
                <w10:wrap type="square" side="right"/>
              </v:rect>
            </w:pict>
          </mc:Fallback>
        </mc:AlternateContent>
      </w:r>
    </w:p>
    <w:p>
      <w:pPr>
        <w:pStyle w:val="TextBody"/>
        <w:pBdr/>
        <w:bidi w:val="0"/>
        <w:spacing w:before="0" w:after="0"/>
        <w:ind w:left="0" w:right="0" w:firstLine="915"/>
        <w:jc w:val="left"/>
        <w:rPr>
          <w:sz w:val="24"/>
        </w:rPr>
      </w:pPr>
      <w:r>
        <w:rPr>
          <w:sz w:val="24"/>
        </w:rPr>
        <w:t>Phil Hathaway, Chief Operating Officer</w:t>
      </w:r>
    </w:p>
    <w:p>
      <w:pPr>
        <w:pStyle w:val="TextBody"/>
        <w:bidi w:val="0"/>
        <w:spacing w:before="0" w:after="0"/>
        <w:ind w:left="0" w:right="0" w:hanging="0"/>
        <w:jc w:val="left"/>
        <w:rPr/>
      </w:pPr>
      <w:r>
        <w:rPr/>
      </w:r>
    </w:p>
    <w:p>
      <w:pPr>
        <w:pStyle w:val="TextBody"/>
        <w:pBdr/>
        <w:bidi w:val="0"/>
        <w:spacing w:before="0" w:after="0"/>
        <w:ind w:left="0" w:right="0" w:hanging="0"/>
        <w:jc w:val="left"/>
        <w:rPr>
          <w:b/>
          <w:sz w:val="24"/>
        </w:rPr>
      </w:pPr>
      <w:r>
        <w:rPr>
          <w:b/>
          <w:sz w:val="24"/>
        </w:rPr>
        <w:t>Marc Andreessen</w:t>
      </w:r>
    </w:p>
    <w:p>
      <w:pPr>
        <w:pStyle w:val="TextBody"/>
        <w:bidi w:val="0"/>
        <w:spacing w:before="0" w:after="0"/>
        <w:ind w:left="0" w:right="0" w:hanging="0"/>
        <w:jc w:val="left"/>
        <w:rPr/>
      </w:pPr>
      <w:r>
        <w:rPr/>
      </w:r>
    </w:p>
    <w:p>
      <w:pPr>
        <w:pStyle w:val="TextBody"/>
        <w:pBdr/>
        <w:bidi w:val="0"/>
        <w:spacing w:before="0" w:after="0"/>
        <w:ind w:left="0" w:right="0" w:hanging="30"/>
        <w:jc w:val="left"/>
        <w:rPr>
          <w:sz w:val="24"/>
          <w:u w:val="single"/>
        </w:rPr>
      </w:pPr>
      <w:r>
        <w:rPr>
          <w:sz w:val="24"/>
          <w:u w:val="single"/>
        </w:rPr>
        <w:t>/s/ Phil Hathaway</w:t>
      </w:r>
      <w:r>
        <mc:AlternateContent>
          <mc:Choice Requires="wps">
            <w:drawing>
              <wp:anchor behindDoc="0" distT="0" distB="0" distL="0" distR="0" simplePos="0" locked="0" layoutInCell="1" allowOverlap="1" relativeHeight="53">
                <wp:simplePos x="0" y="0"/>
                <wp:positionH relativeFrom="column">
                  <wp:align>left</wp:align>
                </wp:positionH>
                <wp:positionV relativeFrom="line">
                  <wp:posOffset>635</wp:posOffset>
                </wp:positionV>
                <wp:extent cx="581025" cy="175260"/>
                <wp:effectExtent l="0" t="0" r="0" b="0"/>
                <wp:wrapSquare wrapText="right"/>
                <wp:docPr id="52" name="Frame8"/>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extBody"/>
                              <w:bidi w:val="0"/>
                              <w:spacing w:before="0" w:after="283"/>
                              <w:jc w:val="left"/>
                              <w:rPr>
                                <w:sz w:val="24"/>
                              </w:rPr>
                            </w:pPr>
                            <w:r>
                              <w:rPr>
                                <w:sz w:val="24"/>
                              </w:rPr>
                              <w:t>By:</w:t>
                            </w:r>
                          </w:p>
                        </w:txbxContent>
                      </wps:txbx>
                      <wps:bodyPr anchor="t" lIns="0" tIns="0" rIns="0" bIns="0">
                        <a:noAutofit/>
                      </wps:bodyPr>
                    </wps:wsp>
                  </a:graphicData>
                </a:graphic>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By:</w:t>
                      </w:r>
                    </w:p>
                  </w:txbxContent>
                </v:textbox>
                <w10:wrap type="square" side="right"/>
              </v:rect>
            </w:pict>
          </mc:Fallback>
        </mc:AlternateContent>
      </w:r>
    </w:p>
    <w:p>
      <w:pPr>
        <w:pStyle w:val="TextBody"/>
        <w:pBdr/>
        <w:bidi w:val="0"/>
        <w:spacing w:before="0" w:after="0"/>
        <w:ind w:left="0" w:right="0" w:firstLine="915"/>
        <w:jc w:val="left"/>
        <w:rPr>
          <w:sz w:val="24"/>
        </w:rPr>
      </w:pPr>
      <w:r>
        <w:rPr>
          <w:sz w:val="24"/>
        </w:rPr>
        <w:t>Phil Hathaway, Attorney-in-Fact for Marc Andreessen*</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hanging="0"/>
        <w:jc w:val="left"/>
        <w:rPr>
          <w:b/>
          <w:sz w:val="24"/>
        </w:rPr>
      </w:pPr>
      <w:r>
        <w:rPr>
          <w:b/>
          <w:sz w:val="24"/>
        </w:rPr>
        <w:t>Benjamin Horowitz</w:t>
      </w:r>
    </w:p>
    <w:p>
      <w:pPr>
        <w:pStyle w:val="TextBody"/>
        <w:bidi w:val="0"/>
        <w:spacing w:before="0" w:after="0"/>
        <w:ind w:left="0" w:right="0" w:hanging="0"/>
        <w:jc w:val="left"/>
        <w:rPr/>
      </w:pPr>
      <w:r>
        <w:rPr/>
      </w:r>
    </w:p>
    <w:p>
      <w:pPr>
        <w:pStyle w:val="TextBody"/>
        <w:pBdr/>
        <w:bidi w:val="0"/>
        <w:spacing w:before="0" w:after="0"/>
        <w:ind w:left="0" w:right="0" w:hanging="30"/>
        <w:jc w:val="left"/>
        <w:rPr>
          <w:sz w:val="24"/>
          <w:u w:val="single"/>
        </w:rPr>
      </w:pPr>
      <w:r>
        <w:rPr>
          <w:sz w:val="24"/>
          <w:u w:val="single"/>
        </w:rPr>
        <w:t>/s/ Phil Hathaway</w:t>
      </w:r>
      <w:r>
        <mc:AlternateContent>
          <mc:Choice Requires="wps">
            <w:drawing>
              <wp:anchor behindDoc="0" distT="0" distB="0" distL="0" distR="0" simplePos="0" locked="0" layoutInCell="1" allowOverlap="1" relativeHeight="54">
                <wp:simplePos x="0" y="0"/>
                <wp:positionH relativeFrom="column">
                  <wp:align>left</wp:align>
                </wp:positionH>
                <wp:positionV relativeFrom="line">
                  <wp:posOffset>635</wp:posOffset>
                </wp:positionV>
                <wp:extent cx="581025" cy="175260"/>
                <wp:effectExtent l="0" t="0" r="0" b="0"/>
                <wp:wrapSquare wrapText="right"/>
                <wp:docPr id="53" name="Frame9"/>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extBody"/>
                              <w:bidi w:val="0"/>
                              <w:spacing w:before="0" w:after="283"/>
                              <w:jc w:val="left"/>
                              <w:rPr>
                                <w:sz w:val="24"/>
                              </w:rPr>
                            </w:pPr>
                            <w:r>
                              <w:rPr>
                                <w:sz w:val="24"/>
                              </w:rPr>
                              <w:t>By:</w:t>
                            </w:r>
                          </w:p>
                        </w:txbxContent>
                      </wps:txbx>
                      <wps:bodyPr anchor="t" lIns="0" tIns="0" rIns="0" bIns="0">
                        <a:noAutofit/>
                      </wps:bodyPr>
                    </wps:wsp>
                  </a:graphicData>
                </a:graphic>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By:</w:t>
                      </w:r>
                    </w:p>
                  </w:txbxContent>
                </v:textbox>
                <w10:wrap type="square" side="right"/>
              </v:rect>
            </w:pict>
          </mc:Fallback>
        </mc:AlternateContent>
      </w:r>
    </w:p>
    <w:p>
      <w:pPr>
        <w:pStyle w:val="TextBody"/>
        <w:pBdr/>
        <w:bidi w:val="0"/>
        <w:spacing w:before="0" w:after="0"/>
        <w:ind w:left="0" w:right="0" w:firstLine="915"/>
        <w:jc w:val="left"/>
        <w:rPr>
          <w:sz w:val="24"/>
        </w:rPr>
      </w:pPr>
      <w:r>
        <w:rPr>
          <w:sz w:val="24"/>
        </w:rPr>
        <w:t>Phil Hathaway, Attorney-in-Fact for Benjamin Horowitz**</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hanging="0"/>
        <w:jc w:val="left"/>
        <w:rPr>
          <w:sz w:val="24"/>
        </w:rPr>
      </w:pPr>
      <w:r>
        <w:rPr>
          <w:sz w:val="24"/>
        </w:rPr>
        <w:t>*Signed pursuant to a Power of Attorney attached as Exhibit 24.1.</w:t>
      </w:r>
    </w:p>
    <w:p>
      <w:pPr>
        <w:pStyle w:val="TextBody"/>
        <w:pBdr/>
        <w:bidi w:val="0"/>
        <w:spacing w:before="0" w:after="0"/>
        <w:ind w:left="0" w:right="0" w:hanging="0"/>
        <w:jc w:val="left"/>
        <w:rPr>
          <w:sz w:val="24"/>
        </w:rPr>
      </w:pPr>
      <w:r>
        <w:rPr>
          <w:sz w:val="24"/>
        </w:rPr>
        <w:t>**Signed pursuant to a Power of Attorney attached as Exhibit 24.2.</w:t>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4085</Words>
  <Characters>20622</Characters>
  <CharactersWithSpaces>24451</CharactersWithSpaces>
  <Paragraphs>659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