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Freenome,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Highbridge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on this cover page reflects information as of the date hereof. As of June 30, 2026, the Reporting Person may have been deemed to beneficially own 661,493 Class A Ordinary Shares (as defined in Item 4(a)), representing 8.1% of the Class A Ordinary Shares outstanding as of such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Freenome,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Genesis Marina, 3300 Marina Blvd., Brisbane, CA 94005</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Highbridge Capital Management, LLC ("Highbridge" or the "Reporting Person"), a Delaware limited liability company and the investment adviser to certain funds and accounts (the "Highbridge Funds"), with respect to the common stock, par value $0.0001 per share, of Freenome, Inc., a Delaware corporation (f/k/a Perceptive Capital Solutions Corp) (the "Issuer"), that were directly held by the Highbridge Funds; The filing of this statement should not be construed as an admission that any of the foregoing persons or the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the Reporting Person is 390 Madison Avenue, 28th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Highbridge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as of June 30, 2026, is calculated based upon an aggregate of 8,157,242 Class A ordinary shares, par value $0.0001 per share ("Class A Ordinary Shares"), of the Issuser outstanding as of June 17, 2026, as reported in the Issuer's Prospectus filed pursuant to Rule 424(b)(4) with the Securities and Exchange Commission on June 17, 2026.</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Highbridge Capital Management,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Kirk Rule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Kirk Rule, Executive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1108</Words>
  <Characters>5621</Characters>
  <CharactersWithSpaces>6724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