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2631_s8.htm"/>
      <w:bookmarkStart w:id="1" w:name="ksef20082631_s8"/>
      <w:bookmarkStart w:id="2" w:name="ef20082631_s8.htm"/>
      <w:bookmarkStart w:id="3" w:name="ksef20082631_s8"/>
      <w:bookmarkEnd w:id="2"/>
      <w:bookmarkEnd w:id="3"/>
    </w:p>
    <w:p>
      <w:pPr>
        <w:pStyle w:val="TextBody"/>
        <w:bidi w:val="0"/>
        <w:spacing w:before="0" w:after="0"/>
        <w:jc w:val="center"/>
        <w:rPr>
          <w:b/>
          <w:sz w:val="20"/>
        </w:rPr>
      </w:pPr>
      <w:r>
        <w:rPr>
          <w:b/>
          <w:sz w:val="20"/>
        </w:rPr>
        <w:t xml:space="preserve">As filed with the Securities and Exchange Commission on September 23, 2026 </w:t>
      </w:r>
    </w:p>
    <w:p>
      <w:pPr>
        <w:pStyle w:val="TextBody"/>
        <w:bidi w:val="0"/>
        <w:spacing w:before="0" w:after="0"/>
        <w:jc w:val="center"/>
        <w:rPr/>
      </w:pPr>
      <w:r>
        <w:rPr/>
        <w:t xml:space="preserve">  </w:t>
      </w:r>
    </w:p>
    <w:p>
      <w:pPr>
        <w:pStyle w:val="TextBody"/>
        <w:bidi w:val="0"/>
        <w:spacing w:before="0" w:after="0"/>
        <w:jc w:val="right"/>
        <w:rPr>
          <w:sz w:val="20"/>
        </w:rPr>
      </w:pPr>
      <w:r>
        <w:rPr>
          <w:b/>
          <w:color w:val="000000"/>
          <w:sz w:val="20"/>
        </w:rPr>
        <w:t>Registration No. 333-</w:t>
      </w:r>
      <w:r>
        <w:rPr>
          <w:sz w:val="20"/>
        </w:rPr>
        <w:t xml:space="preserve"> </w:t>
      </w:r>
    </w:p>
    <w:p>
      <w:pPr>
        <w:pStyle w:val="TextBody"/>
        <w:bidi w:val="0"/>
        <w:spacing w:before="0" w:after="0"/>
        <w:jc w:val="right"/>
        <w:rPr/>
      </w:pPr>
      <w:r>
        <w:rPr/>
        <w:t xml:space="preserve">  </w:t>
      </w:r>
    </w:p>
    <w:p>
      <w:pPr>
        <w:pStyle w:val="TextBody"/>
        <w:bidi w:val="0"/>
        <w:spacing w:before="80" w:after="283"/>
        <w:jc w:val="center"/>
        <w:rPr>
          <w:sz w:val="28"/>
        </w:rPr>
      </w:pPr>
      <w:r>
        <w:rPr>
          <w:b/>
          <w:color w:val="000000"/>
          <w:sz w:val="28"/>
        </w:rPr>
        <w:t>UNITED STATES</w:t>
      </w:r>
      <w:r>
        <w:rPr>
          <w:sz w:val="28"/>
        </w:rPr>
        <w:t xml:space="preserve"> </w:t>
      </w:r>
    </w:p>
    <w:p>
      <w:pPr>
        <w:pStyle w:val="TextBody"/>
        <w:bidi w:val="0"/>
        <w:spacing w:before="0" w:after="0"/>
        <w:jc w:val="center"/>
        <w:rPr>
          <w:sz w:val="28"/>
        </w:rPr>
      </w:pPr>
      <w:r>
        <w:rPr>
          <w:b/>
          <w:color w:val="000000"/>
          <w:sz w:val="28"/>
        </w:rPr>
        <w:t>SECURITIES AND EXCHANGE COMMISSION</w:t>
      </w:r>
      <w:r>
        <w:rPr>
          <w:sz w:val="28"/>
        </w:rPr>
        <w:t xml:space="preserve"> </w:t>
      </w:r>
    </w:p>
    <w:p>
      <w:pPr>
        <w:pStyle w:val="TextBody"/>
        <w:bidi w:val="0"/>
        <w:spacing w:before="0" w:after="0"/>
        <w:jc w:val="center"/>
        <w:rPr>
          <w:b/>
          <w:color w:val="000000"/>
          <w:sz w:val="24"/>
        </w:rPr>
      </w:pPr>
      <w:r>
        <w:rPr>
          <w:b/>
          <w:color w:val="000000"/>
          <w:sz w:val="24"/>
        </w:rPr>
        <w:t xml:space="preserve">Washington, D.C. 20549 </w:t>
      </w:r>
    </w:p>
    <w:p>
      <w:pPr>
        <w:pStyle w:val="TextBody"/>
        <w:bidi w:val="0"/>
        <w:spacing w:before="0" w:after="0"/>
        <w:jc w:val="center"/>
        <w:rPr/>
      </w:pPr>
      <w:r>
        <w:rPr/>
        <w:t xml:space="preserve">  </w:t>
      </w:r>
    </w:p>
    <w:p>
      <w:pPr>
        <w:pStyle w:val="TextBody"/>
        <w:bidi w:val="0"/>
        <w:spacing w:before="0" w:after="0"/>
        <w:jc w:val="center"/>
        <w:rPr>
          <w:sz w:val="36"/>
        </w:rPr>
      </w:pPr>
      <w:r>
        <w:rPr>
          <w:b/>
          <w:color w:val="000000"/>
          <w:sz w:val="36"/>
        </w:rPr>
        <w:t>FORM S-8</w:t>
      </w:r>
      <w:r>
        <w:rPr>
          <w:sz w:val="36"/>
        </w:rPr>
        <w:t xml:space="preserve"> </w:t>
      </w:r>
    </w:p>
    <w:p>
      <w:pPr>
        <w:pStyle w:val="TextBody"/>
        <w:bidi w:val="0"/>
        <w:spacing w:before="0" w:after="0"/>
        <w:jc w:val="center"/>
        <w:rPr>
          <w:sz w:val="20"/>
        </w:rPr>
      </w:pPr>
      <w:r>
        <w:rPr>
          <w:b/>
          <w:color w:val="000000"/>
          <w:sz w:val="20"/>
        </w:rPr>
        <w:t>REGISTRATION STATEMENT</w:t>
      </w:r>
      <w:r>
        <w:rPr>
          <w:sz w:val="20"/>
        </w:rPr>
        <w:t xml:space="preserve"> </w:t>
      </w:r>
    </w:p>
    <w:p>
      <w:pPr>
        <w:pStyle w:val="TextBody"/>
        <w:bidi w:val="0"/>
        <w:spacing w:before="0" w:after="0"/>
        <w:jc w:val="center"/>
        <w:rPr>
          <w:sz w:val="20"/>
        </w:rPr>
      </w:pPr>
      <w:r>
        <w:rPr>
          <w:b/>
          <w:i/>
          <w:color w:val="000000"/>
          <w:sz w:val="20"/>
        </w:rPr>
        <w:t>UNDER</w:t>
      </w:r>
      <w:r>
        <w:rPr>
          <w:sz w:val="20"/>
        </w:rPr>
        <w:t xml:space="preserve"> </w:t>
      </w:r>
    </w:p>
    <w:p>
      <w:pPr>
        <w:pStyle w:val="TextBody"/>
        <w:bidi w:val="0"/>
        <w:spacing w:before="0" w:after="0"/>
        <w:jc w:val="center"/>
        <w:rPr>
          <w:sz w:val="20"/>
        </w:rPr>
      </w:pPr>
      <w:r>
        <w:rPr>
          <w:b/>
          <w:i/>
          <w:color w:val="000000"/>
          <w:sz w:val="20"/>
        </w:rPr>
        <w:t>THE SECURITIES ACT OF 1933</w:t>
      </w:r>
      <w:r>
        <w:rPr>
          <w:sz w:val="20"/>
        </w:rPr>
        <w:t xml:space="preserve"> </w:t>
      </w:r>
    </w:p>
    <w:p>
      <w:pPr>
        <w:pStyle w:val="TextBody"/>
        <w:bidi w:val="0"/>
        <w:spacing w:before="0" w:after="0"/>
        <w:jc w:val="center"/>
        <w:rPr/>
      </w:pPr>
      <w:r>
        <w:rPr/>
        <w:t xml:space="preserve">  </w:t>
      </w:r>
    </w:p>
    <w:p>
      <w:pPr>
        <w:pStyle w:val="TextBody"/>
        <w:bidi w:val="0"/>
        <w:spacing w:before="0" w:after="0"/>
        <w:jc w:val="center"/>
        <w:rPr>
          <w:sz w:val="48"/>
        </w:rPr>
      </w:pPr>
      <w:r>
        <w:rPr>
          <w:b/>
          <w:color w:val="000000"/>
          <w:sz w:val="48"/>
        </w:rPr>
        <w:t>FREENOME, INC.</w:t>
      </w:r>
      <w:r>
        <w:rPr>
          <w:sz w:val="48"/>
        </w:rPr>
        <w:t xml:space="preserve"> </w:t>
      </w:r>
    </w:p>
    <w:p>
      <w:pPr>
        <w:pStyle w:val="TextBody"/>
        <w:bidi w:val="0"/>
        <w:spacing w:before="0" w:after="0"/>
        <w:jc w:val="center"/>
        <w:rPr>
          <w:b/>
          <w:color w:val="000000"/>
          <w:sz w:val="20"/>
        </w:rPr>
      </w:pPr>
      <w:r>
        <w:rPr>
          <w:b/>
          <w:color w:val="000000"/>
          <w:sz w:val="20"/>
        </w:rPr>
        <w:t xml:space="preserve">(Exact name of registrant as specified in its charter) </w:t>
      </w:r>
    </w:p>
    <w:p>
      <w:pPr>
        <w:pStyle w:val="TextBody"/>
        <w:bidi w:val="0"/>
        <w:spacing w:before="0" w:after="0"/>
        <w:jc w:val="center"/>
        <w:rPr/>
      </w:pPr>
      <w:r>
        <w:rPr/>
        <w:t xml:space="preserve">  </w:t>
      </w:r>
    </w:p>
    <w:tbl>
      <w:tblPr>
        <w:tblW w:w="9538" w:type="dxa"/>
        <w:jc w:val="left"/>
        <w:tblInd w:w="0" w:type="dxa"/>
        <w:tblLayout w:type="fixed"/>
        <w:tblCellMar>
          <w:top w:w="28" w:type="dxa"/>
          <w:left w:w="28" w:type="dxa"/>
          <w:bottom w:w="28" w:type="dxa"/>
          <w:right w:w="28" w:type="dxa"/>
        </w:tblCellMar>
      </w:tblPr>
      <w:tblGrid>
        <w:gridCol w:w="5761"/>
        <w:gridCol w:w="146"/>
        <w:gridCol w:w="363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center"/>
          </w:tcPr>
          <w:p>
            <w:pPr>
              <w:pStyle w:val="TableContents"/>
              <w:bidi w:val="0"/>
              <w:spacing w:before="0" w:after="283"/>
              <w:jc w:val="left"/>
              <w:rPr/>
            </w:pPr>
            <w:r>
              <w:rPr/>
              <w:t xml:space="preserve">Delaware </w:t>
            </w:r>
          </w:p>
        </w:tc>
        <w:tc>
          <w:tcPr>
            <w:tcW w:w="146" w:type="dxa"/>
            <w:tcBorders/>
            <w:vAlign w:val="center"/>
          </w:tcPr>
          <w:p>
            <w:pPr>
              <w:pStyle w:val="TableContents"/>
              <w:bidi w:val="0"/>
              <w:spacing w:before="0" w:after="283"/>
              <w:jc w:val="left"/>
              <w:rPr/>
            </w:pPr>
            <w:r>
              <w:rPr/>
              <w:t> </w:t>
            </w:r>
          </w:p>
        </w:tc>
        <w:tc>
          <w:tcPr>
            <w:tcW w:w="3631" w:type="dxa"/>
            <w:tcBorders/>
            <w:vAlign w:val="center"/>
          </w:tcPr>
          <w:p>
            <w:pPr>
              <w:pStyle w:val="TableContents"/>
              <w:bidi w:val="0"/>
              <w:spacing w:before="0" w:after="283"/>
              <w:jc w:val="left"/>
              <w:rPr/>
            </w:pPr>
            <w:r>
              <w:rPr/>
              <w:t xml:space="preserve">98-1783595 </w:t>
            </w:r>
          </w:p>
        </w:tc>
      </w:tr>
      <w:tr>
        <w:trPr/>
        <w:tc>
          <w:tcPr>
            <w:tcW w:w="5761" w:type="dxa"/>
            <w:tcBorders/>
            <w:vAlign w:val="center"/>
          </w:tcPr>
          <w:p>
            <w:pPr>
              <w:pStyle w:val="TableContents"/>
              <w:bidi w:val="0"/>
              <w:spacing w:before="0" w:after="283"/>
              <w:jc w:val="left"/>
              <w:rPr/>
            </w:pPr>
            <w:r>
              <w:rPr/>
              <w:t xml:space="preserve">(State or other jurisdiction of incorporation or organization) </w:t>
            </w:r>
          </w:p>
        </w:tc>
        <w:tc>
          <w:tcPr>
            <w:tcW w:w="146" w:type="dxa"/>
            <w:tcBorders/>
            <w:vAlign w:val="center"/>
          </w:tcPr>
          <w:p>
            <w:pPr>
              <w:pStyle w:val="TableContents"/>
              <w:bidi w:val="0"/>
              <w:spacing w:before="0" w:after="283"/>
              <w:jc w:val="left"/>
              <w:rPr/>
            </w:pPr>
            <w:r>
              <w:rPr/>
              <w:t> </w:t>
            </w:r>
          </w:p>
        </w:tc>
        <w:tc>
          <w:tcPr>
            <w:tcW w:w="3631" w:type="dxa"/>
            <w:tcBorders/>
            <w:vAlign w:val="center"/>
          </w:tcPr>
          <w:p>
            <w:pPr>
              <w:pStyle w:val="TableContents"/>
              <w:bidi w:val="0"/>
              <w:spacing w:before="0" w:after="283"/>
              <w:jc w:val="left"/>
              <w:rPr/>
            </w:pPr>
            <w:r>
              <w:rPr/>
              <w:t xml:space="preserve">(I.R.S. Employer Identification No.) </w:t>
            </w:r>
          </w:p>
        </w:tc>
      </w:tr>
    </w:tbl>
    <w:p>
      <w:pPr>
        <w:pStyle w:val="TextBody"/>
        <w:bidi w:val="0"/>
        <w:spacing w:before="0" w:after="0"/>
        <w:jc w:val="center"/>
        <w:rPr/>
      </w:pPr>
      <w:r>
        <w:rPr/>
        <w:t xml:space="preserve">  </w:t>
      </w:r>
    </w:p>
    <w:p>
      <w:pPr>
        <w:pStyle w:val="TextBody"/>
        <w:bidi w:val="0"/>
        <w:spacing w:before="0" w:after="0"/>
        <w:jc w:val="center"/>
        <w:rPr>
          <w:sz w:val="20"/>
        </w:rPr>
      </w:pPr>
      <w:r>
        <w:rPr>
          <w:b/>
          <w:color w:val="000000"/>
          <w:sz w:val="20"/>
        </w:rPr>
        <w:t>Genesis Marina, 3300 Marina Blvd</w:t>
      </w:r>
      <w:r>
        <w:rPr>
          <w:sz w:val="20"/>
        </w:rPr>
        <w:t xml:space="preserve"> </w:t>
      </w:r>
    </w:p>
    <w:p>
      <w:pPr>
        <w:pStyle w:val="TextBody"/>
        <w:bidi w:val="0"/>
        <w:spacing w:before="0" w:after="0"/>
        <w:jc w:val="center"/>
        <w:rPr>
          <w:sz w:val="20"/>
        </w:rPr>
      </w:pPr>
      <w:r>
        <w:rPr>
          <w:b/>
          <w:color w:val="000000"/>
          <w:sz w:val="20"/>
        </w:rPr>
        <w:t>Brisbane, CA 94005</w:t>
      </w:r>
      <w:r>
        <w:rPr>
          <w:sz w:val="20"/>
        </w:rPr>
        <w:t xml:space="preserve"> </w:t>
      </w:r>
    </w:p>
    <w:p>
      <w:pPr>
        <w:pStyle w:val="TextBody"/>
        <w:bidi w:val="0"/>
        <w:spacing w:before="0" w:after="0"/>
        <w:jc w:val="center"/>
        <w:rPr>
          <w:sz w:val="20"/>
        </w:rPr>
      </w:pPr>
      <w:r>
        <w:rPr>
          <w:b/>
          <w:color w:val="000000"/>
          <w:sz w:val="20"/>
        </w:rPr>
        <w:t>(650) 446-6630</w:t>
      </w:r>
      <w:r>
        <w:rPr>
          <w:sz w:val="20"/>
        </w:rPr>
        <w:t xml:space="preserve"> </w:t>
      </w:r>
    </w:p>
    <w:p>
      <w:pPr>
        <w:pStyle w:val="TextBody"/>
        <w:bidi w:val="0"/>
        <w:spacing w:before="0" w:after="0"/>
        <w:jc w:val="center"/>
        <w:rPr>
          <w:sz w:val="20"/>
        </w:rPr>
      </w:pPr>
      <w:r>
        <w:rPr>
          <w:b/>
          <w:color w:val="000000"/>
          <w:sz w:val="20"/>
        </w:rPr>
        <w:t>(Address of Principal Executive Offices, Zip Code)</w:t>
      </w:r>
      <w:r>
        <w:rPr>
          <w:sz w:val="20"/>
        </w:rPr>
        <w:t xml:space="preserve"> </w:t>
      </w:r>
    </w:p>
    <w:p>
      <w:pPr>
        <w:pStyle w:val="TextBody"/>
        <w:bidi w:val="0"/>
        <w:spacing w:before="0" w:after="0"/>
        <w:jc w:val="center"/>
        <w:rPr/>
      </w:pPr>
      <w:r>
        <w:rPr/>
        <w:t xml:space="preserve">  </w:t>
      </w:r>
    </w:p>
    <w:p>
      <w:pPr>
        <w:pStyle w:val="TextBody"/>
        <w:bidi w:val="0"/>
        <w:spacing w:before="0" w:after="0"/>
        <w:jc w:val="center"/>
        <w:rPr>
          <w:sz w:val="20"/>
        </w:rPr>
      </w:pPr>
      <w:r>
        <w:rPr>
          <w:b/>
          <w:color w:val="000000"/>
          <w:sz w:val="20"/>
        </w:rPr>
        <w:t>FREENOME, INC. 2026 EQUITY INCENTIVE PLAN</w:t>
      </w:r>
      <w:r>
        <w:rPr>
          <w:sz w:val="20"/>
        </w:rPr>
        <w:t xml:space="preserve"> </w:t>
      </w:r>
    </w:p>
    <w:p>
      <w:pPr>
        <w:pStyle w:val="TextBody"/>
        <w:bidi w:val="0"/>
        <w:spacing w:before="0" w:after="0"/>
        <w:jc w:val="center"/>
        <w:rPr>
          <w:sz w:val="20"/>
        </w:rPr>
      </w:pPr>
      <w:r>
        <w:rPr>
          <w:b/>
          <w:color w:val="000000"/>
          <w:sz w:val="20"/>
        </w:rPr>
        <w:t>FREENOME, INC. 2026 EMPLOYEE STOCK PURCHASE PLAN</w:t>
      </w:r>
      <w:r>
        <w:rPr>
          <w:sz w:val="20"/>
        </w:rPr>
        <w:t xml:space="preserve"> </w:t>
      </w:r>
    </w:p>
    <w:p>
      <w:pPr>
        <w:pStyle w:val="TextBody"/>
        <w:bidi w:val="0"/>
        <w:spacing w:before="0" w:after="0"/>
        <w:jc w:val="center"/>
        <w:rPr>
          <w:sz w:val="20"/>
        </w:rPr>
      </w:pPr>
      <w:r>
        <w:rPr>
          <w:b/>
          <w:color w:val="000000"/>
          <w:sz w:val="20"/>
        </w:rPr>
        <w:t>(Full title of the plan)</w:t>
      </w:r>
      <w:r>
        <w:rPr>
          <w:sz w:val="20"/>
        </w:rPr>
        <w:t xml:space="preserve"> </w:t>
      </w:r>
    </w:p>
    <w:p>
      <w:pPr>
        <w:pStyle w:val="TextBody"/>
        <w:bidi w:val="0"/>
        <w:spacing w:before="0" w:after="0"/>
        <w:jc w:val="center"/>
        <w:rPr/>
      </w:pPr>
      <w:r>
        <w:rPr/>
        <w:t xml:space="preserve">  </w:t>
      </w:r>
    </w:p>
    <w:p>
      <w:pPr>
        <w:pStyle w:val="TextBody"/>
        <w:bidi w:val="0"/>
        <w:spacing w:before="0" w:after="0"/>
        <w:jc w:val="center"/>
        <w:rPr>
          <w:sz w:val="20"/>
        </w:rPr>
      </w:pPr>
      <w:r>
        <w:rPr>
          <w:b/>
          <w:color w:val="000000"/>
          <w:sz w:val="20"/>
        </w:rPr>
        <w:t>Aaron Elliott</w:t>
      </w:r>
      <w:r>
        <w:rPr>
          <w:sz w:val="20"/>
        </w:rPr>
        <w:t xml:space="preserve"> </w:t>
      </w:r>
    </w:p>
    <w:p>
      <w:pPr>
        <w:pStyle w:val="TextBody"/>
        <w:bidi w:val="0"/>
        <w:spacing w:before="0" w:after="0"/>
        <w:jc w:val="center"/>
        <w:rPr>
          <w:sz w:val="20"/>
        </w:rPr>
      </w:pPr>
      <w:r>
        <w:rPr>
          <w:b/>
          <w:color w:val="000000"/>
          <w:sz w:val="20"/>
        </w:rPr>
        <w:t>Chief Executive Officer</w:t>
      </w:r>
      <w:r>
        <w:rPr>
          <w:sz w:val="20"/>
        </w:rPr>
        <w:t xml:space="preserve"> </w:t>
      </w:r>
    </w:p>
    <w:p>
      <w:pPr>
        <w:pStyle w:val="TextBody"/>
        <w:bidi w:val="0"/>
        <w:spacing w:before="0" w:after="0"/>
        <w:jc w:val="center"/>
        <w:rPr>
          <w:sz w:val="20"/>
        </w:rPr>
      </w:pPr>
      <w:r>
        <w:rPr>
          <w:b/>
          <w:color w:val="000000"/>
          <w:sz w:val="20"/>
        </w:rPr>
        <w:t>Genesis Marina, 3300 Marina Blvd</w:t>
      </w:r>
      <w:r>
        <w:rPr>
          <w:sz w:val="20"/>
        </w:rPr>
        <w:t xml:space="preserve"> </w:t>
      </w:r>
    </w:p>
    <w:p>
      <w:pPr>
        <w:pStyle w:val="TextBody"/>
        <w:bidi w:val="0"/>
        <w:spacing w:before="0" w:after="0"/>
        <w:jc w:val="center"/>
        <w:rPr>
          <w:sz w:val="20"/>
        </w:rPr>
      </w:pPr>
      <w:r>
        <w:rPr>
          <w:b/>
          <w:color w:val="000000"/>
          <w:sz w:val="20"/>
        </w:rPr>
        <w:t>Brisbane, CA 94005</w:t>
      </w:r>
      <w:r>
        <w:rPr>
          <w:sz w:val="20"/>
        </w:rPr>
        <w:t xml:space="preserve"> </w:t>
      </w:r>
    </w:p>
    <w:p>
      <w:pPr>
        <w:pStyle w:val="TextBody"/>
        <w:bidi w:val="0"/>
        <w:spacing w:before="0" w:after="0"/>
        <w:jc w:val="center"/>
        <w:rPr>
          <w:sz w:val="20"/>
        </w:rPr>
      </w:pPr>
      <w:r>
        <w:rPr>
          <w:b/>
          <w:color w:val="000000"/>
          <w:sz w:val="20"/>
        </w:rPr>
        <w:t>(650) 446-6630</w:t>
      </w:r>
      <w:r>
        <w:rPr>
          <w:sz w:val="20"/>
        </w:rPr>
        <w:t xml:space="preserve"> </w:t>
      </w:r>
    </w:p>
    <w:p>
      <w:pPr>
        <w:pStyle w:val="TextBody"/>
        <w:bidi w:val="0"/>
        <w:spacing w:before="0" w:after="0"/>
        <w:jc w:val="center"/>
        <w:rPr>
          <w:sz w:val="20"/>
        </w:rPr>
      </w:pPr>
      <w:r>
        <w:rPr>
          <w:b/>
          <w:color w:val="000000"/>
          <w:sz w:val="20"/>
        </w:rPr>
        <w:t>(Name and address of agent for service; Telephone number, including area code, of agent for service)</w:t>
      </w:r>
      <w:r>
        <w:rPr>
          <w:sz w:val="20"/>
        </w:rPr>
        <w:t xml:space="preserve"> </w:t>
      </w:r>
    </w:p>
    <w:p>
      <w:pPr>
        <w:pStyle w:val="TextBody"/>
        <w:bidi w:val="0"/>
        <w:spacing w:before="0" w:after="0"/>
        <w:jc w:val="center"/>
        <w:rPr/>
      </w:pPr>
      <w:r>
        <w:rPr/>
        <w:t xml:space="preserve">  </w:t>
      </w:r>
    </w:p>
    <w:p>
      <w:pPr>
        <w:pStyle w:val="TextBody"/>
        <w:bidi w:val="0"/>
        <w:spacing w:before="0" w:after="0"/>
        <w:jc w:val="center"/>
        <w:rPr>
          <w:sz w:val="20"/>
        </w:rPr>
      </w:pPr>
      <w:r>
        <w:rPr>
          <w:b/>
          <w:color w:val="000000"/>
          <w:sz w:val="20"/>
        </w:rPr>
        <w:t>Copies to:</w:t>
      </w:r>
      <w:r>
        <w:rPr>
          <w:sz w:val="20"/>
        </w:rPr>
        <w:t xml:space="preserve"> </w:t>
      </w:r>
    </w:p>
    <w:p>
      <w:pPr>
        <w:pStyle w:val="TextBody"/>
        <w:bidi w:val="0"/>
        <w:spacing w:before="0" w:after="0"/>
        <w:jc w:val="center"/>
        <w:rPr>
          <w:sz w:val="20"/>
        </w:rPr>
      </w:pPr>
      <w:r>
        <w:rPr>
          <w:b/>
          <w:color w:val="000000"/>
          <w:sz w:val="20"/>
        </w:rPr>
        <w:t>Jocelyn M. Arel</w:t>
      </w:r>
      <w:r>
        <w:rPr>
          <w:sz w:val="20"/>
        </w:rPr>
        <w:t xml:space="preserve"> </w:t>
      </w:r>
    </w:p>
    <w:p>
      <w:pPr>
        <w:pStyle w:val="TextBody"/>
        <w:bidi w:val="0"/>
        <w:spacing w:before="0" w:after="0"/>
        <w:jc w:val="center"/>
        <w:rPr>
          <w:sz w:val="20"/>
        </w:rPr>
      </w:pPr>
      <w:r>
        <w:rPr>
          <w:b/>
          <w:color w:val="000000"/>
          <w:sz w:val="20"/>
        </w:rPr>
        <w:t>Sarah Ashfaq</w:t>
      </w:r>
      <w:r>
        <w:rPr>
          <w:sz w:val="20"/>
        </w:rPr>
        <w:t xml:space="preserve"> </w:t>
      </w:r>
    </w:p>
    <w:p>
      <w:pPr>
        <w:pStyle w:val="TextBody"/>
        <w:bidi w:val="0"/>
        <w:spacing w:before="0" w:after="0"/>
        <w:jc w:val="center"/>
        <w:rPr>
          <w:sz w:val="20"/>
        </w:rPr>
      </w:pPr>
      <w:r>
        <w:rPr>
          <w:b/>
          <w:color w:val="000000"/>
          <w:sz w:val="20"/>
        </w:rPr>
        <w:t>Justin Anslow</w:t>
      </w:r>
      <w:r>
        <w:rPr>
          <w:sz w:val="20"/>
        </w:rPr>
        <w:t xml:space="preserve"> </w:t>
      </w:r>
    </w:p>
    <w:p>
      <w:pPr>
        <w:pStyle w:val="TextBody"/>
        <w:bidi w:val="0"/>
        <w:spacing w:before="0" w:after="0"/>
        <w:jc w:val="center"/>
        <w:rPr>
          <w:sz w:val="20"/>
        </w:rPr>
      </w:pPr>
      <w:r>
        <w:rPr>
          <w:b/>
          <w:color w:val="000000"/>
          <w:sz w:val="20"/>
        </w:rPr>
        <w:t>Katherine Hand</w:t>
      </w:r>
      <w:r>
        <w:rPr>
          <w:sz w:val="20"/>
        </w:rPr>
        <w:t xml:space="preserve"> </w:t>
      </w:r>
    </w:p>
    <w:p>
      <w:pPr>
        <w:pStyle w:val="TextBody"/>
        <w:bidi w:val="0"/>
        <w:spacing w:before="0" w:after="0"/>
        <w:jc w:val="center"/>
        <w:rPr>
          <w:sz w:val="20"/>
        </w:rPr>
      </w:pPr>
      <w:r>
        <w:rPr>
          <w:b/>
          <w:color w:val="000000"/>
          <w:sz w:val="20"/>
        </w:rPr>
        <w:t>Goodwin Procter LLP</w:t>
      </w:r>
      <w:r>
        <w:rPr>
          <w:sz w:val="20"/>
        </w:rPr>
        <w:t xml:space="preserve"> </w:t>
      </w:r>
    </w:p>
    <w:p>
      <w:pPr>
        <w:pStyle w:val="TextBody"/>
        <w:bidi w:val="0"/>
        <w:spacing w:before="0" w:after="0"/>
        <w:jc w:val="center"/>
        <w:rPr>
          <w:sz w:val="20"/>
        </w:rPr>
      </w:pPr>
      <w:r>
        <w:rPr>
          <w:b/>
          <w:color w:val="000000"/>
          <w:sz w:val="20"/>
        </w:rPr>
        <w:t>100 Northern Avenue</w:t>
      </w:r>
      <w:r>
        <w:rPr>
          <w:sz w:val="20"/>
        </w:rPr>
        <w:t xml:space="preserve"> </w:t>
      </w:r>
    </w:p>
    <w:p>
      <w:pPr>
        <w:pStyle w:val="TextBody"/>
        <w:bidi w:val="0"/>
        <w:spacing w:before="0" w:after="0"/>
        <w:jc w:val="center"/>
        <w:rPr>
          <w:sz w:val="20"/>
        </w:rPr>
      </w:pPr>
      <w:r>
        <w:rPr>
          <w:b/>
          <w:color w:val="000000"/>
          <w:sz w:val="20"/>
        </w:rPr>
        <w:t>Boston, MA 02210</w:t>
      </w:r>
      <w:r>
        <w:rPr>
          <w:sz w:val="20"/>
        </w:rPr>
        <w:t xml:space="preserve"> </w:t>
      </w:r>
    </w:p>
    <w:p>
      <w:pPr>
        <w:pStyle w:val="TextBody"/>
        <w:bidi w:val="0"/>
        <w:spacing w:before="0" w:after="0"/>
        <w:jc w:val="center"/>
        <w:rPr>
          <w:sz w:val="20"/>
        </w:rPr>
      </w:pPr>
      <w:r>
        <w:rPr>
          <w:b/>
          <w:color w:val="000000"/>
          <w:sz w:val="20"/>
        </w:rPr>
        <w:t>Telephone: (617) 570-1000</w:t>
      </w:r>
      <w:r>
        <w:rPr>
          <w:sz w:val="20"/>
        </w:rPr>
        <w:t xml:space="preserve"> </w:t>
      </w:r>
    </w:p>
    <w:p>
      <w:pPr>
        <w:pStyle w:val="TextBody"/>
        <w:bidi w:val="0"/>
        <w:spacing w:before="0" w:after="0"/>
        <w:jc w:val="center"/>
        <w:rPr/>
      </w:pPr>
      <w:r>
        <w:rPr/>
        <w:t xml:space="preserve">  </w:t>
      </w:r>
    </w:p>
    <w:p>
      <w:pPr>
        <w:pStyle w:val="TextBody"/>
        <w:bidi w:val="0"/>
        <w:spacing w:before="0" w:after="0"/>
        <w:jc w:val="left"/>
        <w:rPr>
          <w:sz w:val="20"/>
        </w:rPr>
      </w:pPr>
      <w:r>
        <w:rPr>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sz w:val="20"/>
        </w:rPr>
        <w:t xml:space="preserve"> </w:t>
      </w:r>
    </w:p>
    <w:p>
      <w:pPr>
        <w:pStyle w:val="TextBody"/>
        <w:bidi w:val="0"/>
        <w:spacing w:before="0" w:after="0"/>
        <w:jc w:val="left"/>
        <w:rPr/>
      </w:pPr>
      <w:r>
        <w:rPr/>
        <w:t xml:space="preserve">  </w:t>
      </w:r>
    </w:p>
    <w:tbl>
      <w:tblPr>
        <w:tblW w:w="5985" w:type="dxa"/>
        <w:jc w:val="left"/>
        <w:tblInd w:w="0" w:type="dxa"/>
        <w:tblLayout w:type="fixed"/>
        <w:tblCellMar>
          <w:top w:w="28" w:type="dxa"/>
          <w:left w:w="28" w:type="dxa"/>
          <w:bottom w:w="28" w:type="dxa"/>
          <w:right w:w="28" w:type="dxa"/>
        </w:tblCellMar>
      </w:tblPr>
      <w:tblGrid>
        <w:gridCol w:w="2281"/>
        <w:gridCol w:w="376"/>
        <w:gridCol w:w="146"/>
        <w:gridCol w:w="2761"/>
        <w:gridCol w:w="421"/>
      </w:tblGrid>
      <w:tr>
        <w:trPr/>
        <w:tc>
          <w:tcPr>
            <w:tcW w:w="22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0"/>
              <w:jc w:val="left"/>
              <w:rPr/>
            </w:pPr>
            <w:r>
              <w:rPr/>
              <w:t xml:space="preserve">Large accelerated filer </w:t>
            </w:r>
          </w:p>
        </w:tc>
        <w:tc>
          <w:tcPr>
            <w:tcW w:w="376" w:type="dxa"/>
            <w:tcBorders/>
            <w:vAlign w:val="center"/>
          </w:tcPr>
          <w:p>
            <w:pPr>
              <w:pStyle w:val="TableContents"/>
              <w:bidi w:val="0"/>
              <w:spacing w:before="0" w:after="0"/>
              <w:jc w:val="left"/>
              <w:rPr/>
            </w:pPr>
            <w:r>
              <w:rPr/>
              <w:t xml:space="preserve">☐ </w:t>
            </w:r>
          </w:p>
        </w:tc>
        <w:tc>
          <w:tcPr>
            <w:tcW w:w="146" w:type="dxa"/>
            <w:tcBorders/>
            <w:vAlign w:val="center"/>
          </w:tcPr>
          <w:p>
            <w:pPr>
              <w:pStyle w:val="TableContents"/>
              <w:bidi w:val="0"/>
              <w:spacing w:before="0" w:after="283"/>
              <w:jc w:val="left"/>
              <w:rPr/>
            </w:pPr>
            <w:r>
              <w:rPr/>
              <w:t> </w:t>
            </w:r>
          </w:p>
        </w:tc>
        <w:tc>
          <w:tcPr>
            <w:tcW w:w="2761" w:type="dxa"/>
            <w:tcBorders/>
            <w:vAlign w:val="center"/>
          </w:tcPr>
          <w:p>
            <w:pPr>
              <w:pStyle w:val="TableContents"/>
              <w:bidi w:val="0"/>
              <w:spacing w:before="0" w:after="0"/>
              <w:jc w:val="left"/>
              <w:rPr/>
            </w:pPr>
            <w:r>
              <w:rPr/>
              <w:t xml:space="preserve">Accelerated filer </w:t>
            </w:r>
          </w:p>
        </w:tc>
        <w:tc>
          <w:tcPr>
            <w:tcW w:w="421" w:type="dxa"/>
            <w:tcBorders/>
            <w:vAlign w:val="center"/>
          </w:tcPr>
          <w:p>
            <w:pPr>
              <w:pStyle w:val="TableContents"/>
              <w:bidi w:val="0"/>
              <w:spacing w:before="0" w:after="0"/>
              <w:jc w:val="left"/>
              <w:rPr/>
            </w:pPr>
            <w:r>
              <w:rPr/>
              <w:t xml:space="preserve">☐ </w:t>
            </w:r>
          </w:p>
        </w:tc>
      </w:tr>
      <w:tr>
        <w:trPr/>
        <w:tc>
          <w:tcPr>
            <w:tcW w:w="2281" w:type="dxa"/>
            <w:tcBorders/>
            <w:vAlign w:val="center"/>
          </w:tcPr>
          <w:p>
            <w:pPr>
              <w:pStyle w:val="TableContents"/>
              <w:bidi w:val="0"/>
              <w:spacing w:before="0" w:after="0"/>
              <w:jc w:val="left"/>
              <w:rPr/>
            </w:pPr>
            <w:r>
              <w:rPr/>
              <w:t xml:space="preserve">Non-accelerated filer </w:t>
            </w:r>
          </w:p>
        </w:tc>
        <w:tc>
          <w:tcPr>
            <w:tcW w:w="376" w:type="dxa"/>
            <w:tcBorders/>
            <w:vAlign w:val="center"/>
          </w:tcPr>
          <w:p>
            <w:pPr>
              <w:pStyle w:val="TableContents"/>
              <w:bidi w:val="0"/>
              <w:spacing w:before="0" w:after="0"/>
              <w:jc w:val="left"/>
              <w:rPr/>
            </w:pPr>
            <w:r>
              <w:rPr/>
              <w:t xml:space="preserve">☒ </w:t>
            </w:r>
          </w:p>
        </w:tc>
        <w:tc>
          <w:tcPr>
            <w:tcW w:w="146" w:type="dxa"/>
            <w:tcBorders/>
            <w:vAlign w:val="center"/>
          </w:tcPr>
          <w:p>
            <w:pPr>
              <w:pStyle w:val="TableContents"/>
              <w:bidi w:val="0"/>
              <w:spacing w:before="0" w:after="283"/>
              <w:jc w:val="left"/>
              <w:rPr/>
            </w:pPr>
            <w:r>
              <w:rPr/>
              <w:t> </w:t>
            </w:r>
          </w:p>
        </w:tc>
        <w:tc>
          <w:tcPr>
            <w:tcW w:w="2761" w:type="dxa"/>
            <w:tcBorders/>
            <w:vAlign w:val="center"/>
          </w:tcPr>
          <w:p>
            <w:pPr>
              <w:pStyle w:val="TableContents"/>
              <w:bidi w:val="0"/>
              <w:spacing w:before="0" w:after="0"/>
              <w:jc w:val="left"/>
              <w:rPr/>
            </w:pPr>
            <w:r>
              <w:rPr/>
              <w:t xml:space="preserve">Smaller reporting company </w:t>
            </w:r>
          </w:p>
        </w:tc>
        <w:tc>
          <w:tcPr>
            <w:tcW w:w="421" w:type="dxa"/>
            <w:tcBorders/>
            <w:vAlign w:val="center"/>
          </w:tcPr>
          <w:p>
            <w:pPr>
              <w:pStyle w:val="TableContents"/>
              <w:bidi w:val="0"/>
              <w:spacing w:before="0" w:after="0"/>
              <w:jc w:val="left"/>
              <w:rPr/>
            </w:pPr>
            <w:r>
              <w:rPr/>
              <w:t xml:space="preserve">☒ </w:t>
            </w:r>
          </w:p>
        </w:tc>
      </w:tr>
      <w:tr>
        <w:trPr/>
        <w:tc>
          <w:tcPr>
            <w:tcW w:w="2281"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761" w:type="dxa"/>
            <w:tcBorders/>
            <w:vAlign w:val="center"/>
          </w:tcPr>
          <w:p>
            <w:pPr>
              <w:pStyle w:val="TableContents"/>
              <w:bidi w:val="0"/>
              <w:spacing w:before="0" w:after="0"/>
              <w:jc w:val="left"/>
              <w:rPr/>
            </w:pPr>
            <w:r>
              <w:rPr/>
              <w:t xml:space="preserve">Emerging growth company </w:t>
            </w:r>
          </w:p>
        </w:tc>
        <w:tc>
          <w:tcPr>
            <w:tcW w:w="421" w:type="dxa"/>
            <w:tcBorders/>
            <w:vAlign w:val="center"/>
          </w:tcPr>
          <w:p>
            <w:pPr>
              <w:pStyle w:val="TableContents"/>
              <w:bidi w:val="0"/>
              <w:spacing w:before="0" w:after="0"/>
              <w:jc w:val="left"/>
              <w:rPr/>
            </w:pPr>
            <w:r>
              <w:rPr/>
              <w:t xml:space="preserve">☒ </w:t>
            </w:r>
          </w:p>
        </w:tc>
      </w:tr>
    </w:tbl>
    <w:p>
      <w:pPr>
        <w:pStyle w:val="TextBody"/>
        <w:bidi w:val="0"/>
        <w:spacing w:before="0" w:after="0"/>
        <w:jc w:val="left"/>
        <w:rPr/>
      </w:pPr>
      <w:r>
        <w:rPr/>
        <w:t> </w:t>
      </w:r>
    </w:p>
    <w:p>
      <w:pPr>
        <w:pStyle w:val="TextBody"/>
        <w:bidi w:val="0"/>
        <w:spacing w:before="0" w:after="0"/>
        <w:jc w:val="left"/>
        <w:rPr>
          <w:sz w:val="20"/>
        </w:rPr>
      </w:pPr>
      <w:r>
        <w:rPr>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b/>
          <w:sz w:val="20"/>
        </w:rPr>
      </w:pPr>
      <w:r>
        <w:rPr>
          <w:b/>
          <w:sz w:val="20"/>
        </w:rPr>
        <w:t xml:space="preserve">EXPLANATORY NOTE </w:t>
      </w:r>
    </w:p>
    <w:p>
      <w:pPr>
        <w:pStyle w:val="TextBody"/>
        <w:bidi w:val="0"/>
        <w:spacing w:before="0" w:after="0"/>
        <w:jc w:val="left"/>
        <w:rPr/>
      </w:pPr>
      <w:r>
        <w:rPr/>
        <w:t xml:space="preserve">  </w:t>
      </w:r>
    </w:p>
    <w:p>
      <w:pPr>
        <w:pStyle w:val="TextBody"/>
        <w:bidi w:val="0"/>
        <w:spacing w:before="0" w:after="0"/>
        <w:jc w:val="both"/>
        <w:rPr>
          <w:sz w:val="20"/>
        </w:rPr>
      </w:pPr>
      <w:r>
        <w:rPr>
          <w:color w:val="000000"/>
          <w:sz w:val="20"/>
        </w:rPr>
        <w:t>On July 20, 2026 (the “Closing Date”), Freenome, Inc. (previously named Perceptive Capital Solutions Corp, the “Registrant”) consummated a business combination pursuant to the terms of the business combination agreement, dated December 5, 2025 and amended on July 20, 2026 (as amended, the “Business Combination Agreement”), with StarNet Merger Sub I, Corp. (“Merger Sub I”), StarNet Merger Sub II, LLC (“Merger Sub II”), and Freenome Holdings, Inc. (“Legacy Freenome”).</w:t>
      </w:r>
      <w:r>
        <w:rPr>
          <w:sz w:val="20"/>
        </w:rPr>
        <w:t xml:space="preserve"> </w:t>
      </w:r>
    </w:p>
    <w:p>
      <w:pPr>
        <w:pStyle w:val="TextBody"/>
        <w:bidi w:val="0"/>
        <w:spacing w:before="0" w:after="0"/>
        <w:jc w:val="both"/>
        <w:rPr/>
      </w:pPr>
      <w:r>
        <w:rPr/>
        <w:t xml:space="preserve">  </w:t>
      </w:r>
    </w:p>
    <w:p>
      <w:pPr>
        <w:pStyle w:val="TextBody"/>
        <w:bidi w:val="0"/>
        <w:spacing w:before="0" w:after="0"/>
        <w:jc w:val="both"/>
        <w:rPr>
          <w:sz w:val="20"/>
        </w:rPr>
      </w:pPr>
      <w:r>
        <w:rPr>
          <w:color w:val="000000"/>
          <w:sz w:val="20"/>
        </w:rPr>
        <w:t>Pursuant to the terms of the Business Combination Agreement, among other things, the following occurred: (1) the domestication of Perceptive Capital Solutions Corp (“PCSC”) as a Delaware corporation, in which PCSC de-registered from the Register of Companies in the Cayman Islands and transferred by way of continuation out of the Cayman Islands and into the State of Delaware so as to migrate to and domesticate as a Delaware corporation in accordance with PCSC’s amended and restated memorandum and articles of association (the “PCSC Articles”), Section 388 of the Delaware General Corporation Law (the “DGCL”) and Part XII of the Companies Act (As Revised) of the Cayman Islands (the “Cayman Companies Act”) (the “Domestication”); (2) the merger of Merger Sub I with and into Legacy Freenome with Legacy Freenome surviving the merger as a wholly-owned subsidiary of PCSC (the “First Merger”), in accordance with the Business Combination Agreement and DGCL; (3) Legacy Freenome, as the surviving corporation of the First Merger, merged with and into Merger Sub II (the “Second Merger,” and together with the First Merger, the “Mergers”), with Merger Sub II continuing as the surviving company in the Second Merger, in accordance with the Business Combination Agreement and DGCL; and (4) the consummation of the other transactions contemplated by the Business Combination Agreement and documents related thereto (such transactions, together with the Domestication and the Mergers, the “Business Combination”).</w:t>
      </w:r>
      <w:r>
        <w:rPr>
          <w:sz w:val="20"/>
        </w:rPr>
        <w:t xml:space="preserve"> </w:t>
      </w:r>
    </w:p>
    <w:p>
      <w:pPr>
        <w:pStyle w:val="TextBody"/>
        <w:bidi w:val="0"/>
        <w:spacing w:before="0" w:after="0"/>
        <w:jc w:val="left"/>
        <w:rPr/>
      </w:pPr>
      <w:r>
        <w:rPr/>
        <w:t xml:space="preserve">  </w:t>
      </w:r>
    </w:p>
    <w:p>
      <w:pPr>
        <w:pStyle w:val="TextBody"/>
        <w:bidi w:val="0"/>
        <w:spacing w:before="0" w:after="0"/>
        <w:jc w:val="both"/>
        <w:rPr>
          <w:sz w:val="20"/>
        </w:rPr>
      </w:pPr>
      <w:r>
        <w:rPr>
          <w:sz w:val="20"/>
        </w:rPr>
        <w:t xml:space="preserve">In connection with the Business Combination, each outstanding and unexercised option to purchase shares of Legacy Freenome common stock (each, a “Legacy Freenome Option”) under the Freenome Holdings, Inc. 2016 Stock Incentive Plan, as amended (the “2016 Plan”) was cancelled and exchanged for an option of the Registrant (each, a “Registrant Option”) under the Freenome, Inc. 2026 Equity Incentive Plan (the “2026 Plan”) exercisable for the number of shares of the Registrant’s common stock, par value $0.0001 per share (“Common Stock”) equal to approximately 0.282895 multiplied by the number of shares of Legacy Freenome common stock subject to the Legacy Freenome Option as of immediately prior to the effective time of the Business Combination, rounded down to the nearest whole share. Additionally, each unvested, outstanding restricted stock unit award with respect to Legacy Freenome common stock (each, a “Legacy Freenome RSU”) under the 2016 Plan was cancelled and exchanged for a restricted stock unit award of the Registrant (each, a “Registrant RSU”) under the 2026 Plan relating to the number of shares of Common Stock set forth on an allocation schedule. Following the Closing Date, Legacy Freenome did not grant any further awards under the 2016 Plan. </w:t>
      </w:r>
    </w:p>
    <w:p>
      <w:pPr>
        <w:pStyle w:val="TextBody"/>
        <w:bidi w:val="0"/>
        <w:spacing w:before="0" w:after="0"/>
        <w:jc w:val="left"/>
        <w:rPr/>
      </w:pPr>
      <w:r>
        <w:rPr/>
        <w:t xml:space="preserve">  </w:t>
      </w:r>
    </w:p>
    <w:p>
      <w:pPr>
        <w:pStyle w:val="TextBody"/>
        <w:bidi w:val="0"/>
        <w:spacing w:before="0" w:after="0"/>
        <w:jc w:val="both"/>
        <w:rPr>
          <w:sz w:val="20"/>
        </w:rPr>
      </w:pPr>
      <w:r>
        <w:rPr>
          <w:sz w:val="20"/>
        </w:rPr>
        <w:t xml:space="preserve">Accordingly, this Registration Statement registers (i) 2,466,114 shares of Common Stock reserved and available for future issuance under the 2026 Plan, which are the shares of Common Stock reserved as the Initial Limit (as defined under the 2026 Plan)excluding the (a) 8,272,601 shares of Common Stock reserved with respect to the Legacy Freenome Options and (b) 4,034,512 shares of Common Stock reserved with respect to the Legacy Freenome RSUs; (ii) 8,272,601 shares of Common Stock issuable with respect to the vested Legacy Freenome Options that were cancelled and exchanged for Registrant Options under the 2026 Plan; and (iii) 2,462,204 shares of Common Stock reserved and available for future issuance under the Freenome, Inc. 2026 Employee Stock Purchase Plan.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b/>
          <w:sz w:val="20"/>
        </w:rPr>
        <w:t>Part I</w:t>
      </w:r>
      <w:r>
        <w:rPr/>
        <w:t xml:space="preserve"> </w:t>
      </w:r>
    </w:p>
    <w:p>
      <w:pPr>
        <w:pStyle w:val="TextBody"/>
        <w:bidi w:val="0"/>
        <w:spacing w:before="0" w:after="0"/>
        <w:jc w:val="left"/>
        <w:rPr/>
      </w:pPr>
      <w:r>
        <w:rPr/>
        <w:t xml:space="preserve">  </w:t>
      </w:r>
    </w:p>
    <w:p>
      <w:pPr>
        <w:pStyle w:val="TextBody"/>
        <w:bidi w:val="0"/>
        <w:spacing w:before="0" w:after="0"/>
        <w:jc w:val="left"/>
        <w:rPr/>
      </w:pPr>
      <w:r>
        <w:rPr>
          <w:b/>
          <w:sz w:val="20"/>
        </w:rPr>
        <w:t>INFORMATION REQUIRED IN THE SECTION 10(a) PROSPECTUS</w:t>
      </w:r>
      <w:r>
        <w:rPr/>
        <w:t xml:space="preserve"> </w:t>
      </w:r>
    </w:p>
    <w:p>
      <w:pPr>
        <w:pStyle w:val="TextBody"/>
        <w:bidi w:val="0"/>
        <w:spacing w:before="0" w:after="0"/>
        <w:jc w:val="left"/>
        <w:rPr/>
      </w:pPr>
      <w:r>
        <w:rPr/>
        <w:t> </w:t>
      </w:r>
    </w:p>
    <w:p>
      <w:pPr>
        <w:pStyle w:val="TextBody"/>
        <w:bidi w:val="0"/>
        <w:spacing w:before="0" w:after="0"/>
        <w:ind w:left="0" w:right="0" w:hanging="720"/>
        <w:jc w:val="left"/>
        <w:rPr/>
      </w:pPr>
      <w:r>
        <w:rPr>
          <w:b/>
          <w:sz w:val="20"/>
        </w:rPr>
        <w:t>Plan Information.</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4572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1.</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both"/>
        <w:rPr/>
      </w:pPr>
      <w:r>
        <w:rPr>
          <w:sz w:val="20"/>
        </w:rPr>
        <w:t>The documents containing the information specified in this Item 1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Registration Statement on Form S-8 (this “Registration Statement”) or as prospectuses or prospectus supplements pursuant to Rule 424 under the Securities Act.</w:t>
      </w:r>
      <w:r>
        <w:rPr/>
        <w:t xml:space="preserve"> </w:t>
      </w:r>
    </w:p>
    <w:p>
      <w:pPr>
        <w:pStyle w:val="TextBody"/>
        <w:bidi w:val="0"/>
        <w:spacing w:before="0" w:after="0"/>
        <w:jc w:val="left"/>
        <w:rPr/>
      </w:pPr>
      <w:r>
        <w:rPr/>
        <w:t> </w:t>
      </w:r>
    </w:p>
    <w:p>
      <w:pPr>
        <w:pStyle w:val="TextBody"/>
        <w:bidi w:val="0"/>
        <w:spacing w:before="0" w:after="0"/>
        <w:ind w:left="0" w:right="0" w:hanging="720"/>
        <w:jc w:val="both"/>
        <w:rPr>
          <w:b/>
          <w:sz w:val="20"/>
        </w:rPr>
      </w:pPr>
      <w:r>
        <w:rPr>
          <w:b/>
          <w:sz w:val="20"/>
        </w:rPr>
        <w:t xml:space="preserve">Registrant Information and Employee Plan Annual Information.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4572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2.</w:t>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both"/>
        <w:rPr/>
      </w:pPr>
      <w:r>
        <w:rPr>
          <w:sz w:val="20"/>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r>
        <w:rPr/>
        <w:t xml:space="preserve"> </w:t>
      </w:r>
    </w:p>
    <w:p>
      <w:pPr>
        <w:pStyle w:val="TextBody"/>
        <w:bidi w:val="0"/>
        <w:spacing w:before="0" w:after="0"/>
        <w:jc w:val="both"/>
        <w:rPr/>
      </w:pPr>
      <w:r>
        <w:rPr/>
        <w:t xml:space="preserve">  </w:t>
      </w:r>
    </w:p>
    <w:p>
      <w:pPr>
        <w:pStyle w:val="TextBody"/>
        <w:bidi w:val="0"/>
        <w:spacing w:before="0" w:after="0"/>
        <w:jc w:val="both"/>
        <w:rPr/>
      </w:pPr>
      <w:r>
        <w:rPr>
          <w:b/>
          <w:sz w:val="20"/>
        </w:rPr>
        <w:t>Part II</w:t>
      </w:r>
      <w:r>
        <w:rPr/>
        <w:t xml:space="preserve"> </w:t>
      </w:r>
    </w:p>
    <w:p>
      <w:pPr>
        <w:pStyle w:val="TextBody"/>
        <w:bidi w:val="0"/>
        <w:spacing w:before="0" w:after="0"/>
        <w:jc w:val="both"/>
        <w:rPr/>
      </w:pPr>
      <w:r>
        <w:rPr/>
        <w:t xml:space="preserve">  </w:t>
      </w:r>
    </w:p>
    <w:p>
      <w:pPr>
        <w:pStyle w:val="TextBody"/>
        <w:bidi w:val="0"/>
        <w:spacing w:before="0" w:after="0"/>
        <w:jc w:val="both"/>
        <w:rPr/>
      </w:pPr>
      <w:r>
        <w:rPr>
          <w:b/>
          <w:sz w:val="20"/>
        </w:rPr>
        <w:t>INFORMATION REQUIRED IN THE REGISTRATION STATEMENT</w:t>
      </w:r>
      <w:r>
        <w:rPr/>
        <w:t xml:space="preserve"> </w:t>
      </w:r>
    </w:p>
    <w:p>
      <w:pPr>
        <w:pStyle w:val="TextBody"/>
        <w:bidi w:val="0"/>
        <w:spacing w:before="0" w:after="0"/>
        <w:jc w:val="both"/>
        <w:rPr/>
      </w:pPr>
      <w:r>
        <w:rPr/>
        <w:t> </w:t>
      </w:r>
    </w:p>
    <w:p>
      <w:pPr>
        <w:pStyle w:val="TextBody"/>
        <w:bidi w:val="0"/>
        <w:spacing w:before="0" w:after="0"/>
        <w:ind w:left="0" w:right="0" w:hanging="720"/>
        <w:jc w:val="both"/>
        <w:rPr/>
      </w:pPr>
      <w:r>
        <w:rPr>
          <w:b/>
          <w:sz w:val="20"/>
        </w:rPr>
        <w:t>Incorporation of Documents by Reference.</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3.</w:t>
                      </w:r>
                      <w:r>
                        <w:rPr/>
                        <w:t xml:space="preserve"> </w:t>
                      </w:r>
                    </w:p>
                  </w:txbxContent>
                </v:textbox>
                <w10:wrap type="square" side="right"/>
              </v:rect>
            </w:pict>
          </mc:Fallback>
        </mc:AlternateContent>
      </w:r>
    </w:p>
    <w:p>
      <w:pPr>
        <w:pStyle w:val="TextBody"/>
        <w:bidi w:val="0"/>
        <w:spacing w:before="0" w:after="0"/>
        <w:ind w:left="0" w:right="0" w:hanging="360"/>
        <w:jc w:val="both"/>
        <w:rPr/>
      </w:pPr>
      <w:r>
        <w:rPr/>
        <w:t> </w:t>
      </w:r>
    </w:p>
    <w:p>
      <w:pPr>
        <w:pStyle w:val="TextBody"/>
        <w:bidi w:val="0"/>
        <w:spacing w:before="0" w:after="0"/>
        <w:jc w:val="both"/>
        <w:rPr/>
      </w:pPr>
      <w:r>
        <w:rPr>
          <w:sz w:val="20"/>
        </w:rPr>
        <w:t>The Registrant hereby incorporates by reference into this Registration Statement the following documents filed with the Commission:</w:t>
      </w:r>
      <w:r>
        <w:rPr/>
        <w:t xml:space="preserve"> </w:t>
      </w:r>
    </w:p>
    <w:p>
      <w:pPr>
        <w:pStyle w:val="TextBody"/>
        <w:bidi w:val="0"/>
        <w:spacing w:before="0" w:after="0"/>
        <w:jc w:val="both"/>
        <w:rPr/>
      </w:pPr>
      <w:r>
        <w:rPr/>
        <w:t xml:space="preserve">  </w:t>
      </w:r>
    </w:p>
    <w:p>
      <w:pPr>
        <w:pStyle w:val="TextBody"/>
        <w:bidi w:val="0"/>
        <w:spacing w:before="0" w:after="0"/>
        <w:jc w:val="left"/>
        <w:rPr>
          <w:sz w:val="20"/>
        </w:rPr>
      </w:pPr>
      <w:r>
        <w:rPr>
          <w:sz w:val="20"/>
        </w:rPr>
        <w:t xml:space="preserve">(a) </w:t>
      </w:r>
    </w:p>
    <w:p>
      <w:pPr>
        <w:pStyle w:val="TextBody"/>
        <w:bidi w:val="0"/>
        <w:spacing w:before="0" w:after="0"/>
        <w:ind w:left="360" w:right="0" w:hanging="0"/>
        <w:jc w:val="both"/>
        <w:rPr/>
      </w:pPr>
      <w:r>
        <w:rPr>
          <w:sz w:val="20"/>
        </w:rPr>
        <w:t xml:space="preserve">The Registrant’s prospectus, dated </w:t>
      </w:r>
      <w:hyperlink r:id="rId2">
        <w:r>
          <w:rPr>
            <w:rStyle w:val="InternetLink"/>
            <w:sz w:val="20"/>
          </w:rPr>
          <w:t>June 17, 2026</w:t>
        </w:r>
      </w:hyperlink>
      <w:r>
        <w:rPr>
          <w:sz w:val="20"/>
        </w:rPr>
        <w:t xml:space="preserve">, filed with the Commission pursuant to Rule 424(b)(4) of the Securities Act on June 17, 2026 and supplemented on </w:t>
      </w:r>
      <w:hyperlink r:id="rId3">
        <w:r>
          <w:rPr>
            <w:rStyle w:val="InternetLink"/>
            <w:sz w:val="20"/>
          </w:rPr>
          <w:t>July 9, 2026</w:t>
        </w:r>
      </w:hyperlink>
      <w:r>
        <w:rPr>
          <w:sz w:val="20"/>
        </w:rPr>
        <w:t xml:space="preserve">, relating to the Registrant’s Registration Statement on Form S-4, as amended (File No. 333-295377), which contains the audited financial statements for the Registrant’s latest fiscal year for which such statements have been filed (the “424(b)(4) Prospectus”); </w:t>
      </w:r>
    </w:p>
    <w:p>
      <w:pPr>
        <w:pStyle w:val="TextBody"/>
        <w:bidi w:val="0"/>
        <w:spacing w:before="0" w:after="0"/>
        <w:jc w:val="both"/>
        <w:rPr/>
      </w:pPr>
      <w:r>
        <w:rPr/>
        <w:t xml:space="preserve">  </w:t>
      </w:r>
    </w:p>
    <w:p>
      <w:pPr>
        <w:pStyle w:val="TextBody"/>
        <w:bidi w:val="0"/>
        <w:spacing w:before="0" w:after="0"/>
        <w:jc w:val="left"/>
        <w:rPr>
          <w:sz w:val="20"/>
        </w:rPr>
      </w:pPr>
      <w:r>
        <w:rPr>
          <w:sz w:val="20"/>
        </w:rPr>
        <w:t xml:space="preserve">(b) </w:t>
      </w:r>
    </w:p>
    <w:p>
      <w:pPr>
        <w:pStyle w:val="TextBody"/>
        <w:bidi w:val="0"/>
        <w:spacing w:before="0" w:after="0"/>
        <w:ind w:left="360" w:right="0" w:hanging="0"/>
        <w:jc w:val="both"/>
        <w:rPr/>
      </w:pPr>
      <w:r>
        <w:rPr>
          <w:sz w:val="20"/>
        </w:rPr>
        <w:t xml:space="preserve">Quarterly Reports on Form 10-Q for the quarters ended </w:t>
      </w:r>
      <w:hyperlink r:id="rId4">
        <w:r>
          <w:rPr>
            <w:rStyle w:val="InternetLink"/>
            <w:sz w:val="20"/>
          </w:rPr>
          <w:t>March 31, 2026</w:t>
        </w:r>
      </w:hyperlink>
      <w:r>
        <w:rPr>
          <w:sz w:val="20"/>
        </w:rPr>
        <w:t xml:space="preserve"> and </w:t>
      </w:r>
      <w:hyperlink r:id="rId5">
        <w:r>
          <w:rPr>
            <w:rStyle w:val="InternetLink"/>
            <w:sz w:val="20"/>
          </w:rPr>
          <w:t>June 30, 2026</w:t>
        </w:r>
      </w:hyperlink>
      <w:r>
        <w:rPr>
          <w:sz w:val="20"/>
        </w:rPr>
        <w:t xml:space="preserve"> filed with the Commission on May 13, 2026 and July 15, 2026, respectively; </w:t>
      </w:r>
    </w:p>
    <w:p>
      <w:pPr>
        <w:pStyle w:val="TextBody"/>
        <w:bidi w:val="0"/>
        <w:spacing w:before="0" w:after="0"/>
        <w:ind w:left="360" w:right="0" w:hanging="0"/>
        <w:jc w:val="both"/>
        <w:rPr/>
      </w:pPr>
      <w:r>
        <w:rPr/>
        <w:t xml:space="preserve">  </w:t>
      </w:r>
    </w:p>
    <w:p>
      <w:pPr>
        <w:pStyle w:val="TextBody"/>
        <w:bidi w:val="0"/>
        <w:spacing w:before="0" w:after="0"/>
        <w:jc w:val="left"/>
        <w:rPr>
          <w:sz w:val="20"/>
        </w:rPr>
      </w:pPr>
      <w:r>
        <w:rPr>
          <w:sz w:val="20"/>
        </w:rPr>
        <w:t xml:space="preserve">(c) </w:t>
      </w:r>
    </w:p>
    <w:p>
      <w:pPr>
        <w:pStyle w:val="TextBody"/>
        <w:bidi w:val="0"/>
        <w:spacing w:before="0" w:after="0"/>
        <w:ind w:left="360" w:right="0" w:hanging="0"/>
        <w:jc w:val="both"/>
        <w:rPr/>
      </w:pPr>
      <w:r>
        <w:rPr>
          <w:sz w:val="20"/>
        </w:rPr>
        <w:t xml:space="preserve">Current Reports on Form 8-K filed with the Commission on </w:t>
      </w:r>
      <w:hyperlink r:id="rId6">
        <w:r>
          <w:rPr>
            <w:rStyle w:val="InternetLink"/>
            <w:sz w:val="20"/>
          </w:rPr>
          <w:t>June 10, 2026</w:t>
        </w:r>
      </w:hyperlink>
      <w:r>
        <w:rPr>
          <w:sz w:val="20"/>
        </w:rPr>
        <w:t xml:space="preserve">, </w:t>
      </w:r>
      <w:hyperlink r:id="rId7">
        <w:r>
          <w:rPr>
            <w:rStyle w:val="InternetLink"/>
            <w:sz w:val="20"/>
          </w:rPr>
          <w:t>July 9, 2026</w:t>
        </w:r>
      </w:hyperlink>
      <w:r>
        <w:rPr>
          <w:sz w:val="20"/>
        </w:rPr>
        <w:t xml:space="preserve">, </w:t>
      </w:r>
      <w:hyperlink r:id="rId8">
        <w:r>
          <w:rPr>
            <w:rStyle w:val="InternetLink"/>
            <w:sz w:val="20"/>
          </w:rPr>
          <w:t>July 15, 2026</w:t>
        </w:r>
      </w:hyperlink>
      <w:r>
        <w:rPr>
          <w:sz w:val="20"/>
        </w:rPr>
        <w:t xml:space="preserve">, </w:t>
      </w:r>
      <w:hyperlink r:id="rId9">
        <w:r>
          <w:rPr>
            <w:rStyle w:val="InternetLink"/>
            <w:sz w:val="20"/>
          </w:rPr>
          <w:t>July 24, 2026</w:t>
        </w:r>
      </w:hyperlink>
      <w:r>
        <w:rPr>
          <w:sz w:val="20"/>
        </w:rPr>
        <w:t xml:space="preserve"> and amended </w:t>
      </w:r>
      <w:hyperlink r:id="rId10">
        <w:r>
          <w:rPr>
            <w:rStyle w:val="InternetLink"/>
            <w:sz w:val="20"/>
          </w:rPr>
          <w:t>August 13, 2026</w:t>
        </w:r>
      </w:hyperlink>
      <w:r>
        <w:rPr>
          <w:sz w:val="20"/>
        </w:rPr>
        <w:t xml:space="preserve"> (excluding information furnished pursuant to Item 7.01 or corresponding information furnished under Item 9.01 or included as an exhibit), and </w:t>
      </w:r>
      <w:hyperlink r:id="rId11">
        <w:r>
          <w:rPr>
            <w:rStyle w:val="InternetLink"/>
            <w:sz w:val="20"/>
          </w:rPr>
          <w:t>July 27, 2026</w:t>
        </w:r>
      </w:hyperlink>
      <w:r>
        <w:rPr>
          <w:sz w:val="20"/>
        </w:rPr>
        <w:t xml:space="preserve"> (excluding information furnished pursuant to Item 7.01 or corresponding information furnished under Item 9.01 or included as an exhibit); and </w:t>
      </w:r>
    </w:p>
    <w:p>
      <w:pPr>
        <w:pStyle w:val="TextBody"/>
        <w:bidi w:val="0"/>
        <w:spacing w:before="0" w:after="0"/>
        <w:ind w:left="360" w:right="0" w:hanging="0"/>
        <w:jc w:val="both"/>
        <w:rPr/>
      </w:pPr>
      <w:r>
        <w:rPr/>
        <w:t xml:space="preserve">  </w:t>
      </w:r>
    </w:p>
    <w:p>
      <w:pPr>
        <w:pStyle w:val="TextBody"/>
        <w:bidi w:val="0"/>
        <w:spacing w:before="0" w:after="0"/>
        <w:jc w:val="left"/>
        <w:rPr>
          <w:sz w:val="20"/>
        </w:rPr>
      </w:pPr>
      <w:r>
        <w:rPr>
          <w:sz w:val="20"/>
        </w:rPr>
        <w:t xml:space="preserve">(d) </w:t>
      </w:r>
    </w:p>
    <w:p>
      <w:pPr>
        <w:pStyle w:val="TextBody"/>
        <w:bidi w:val="0"/>
        <w:spacing w:before="0" w:after="0"/>
        <w:ind w:left="360" w:right="0" w:hanging="0"/>
        <w:jc w:val="both"/>
        <w:rPr/>
      </w:pPr>
      <w:r>
        <w:rPr>
          <w:sz w:val="20"/>
        </w:rPr>
        <w:t xml:space="preserve">The description of the Common Stock contained in the </w:t>
      </w:r>
      <w:hyperlink r:id="rId12">
        <w:r>
          <w:rPr>
            <w:rStyle w:val="InternetLink"/>
            <w:sz w:val="20"/>
          </w:rPr>
          <w:t>424(b)(4) Prospectus</w:t>
        </w:r>
      </w:hyperlink>
      <w:r>
        <w:rPr>
          <w:sz w:val="20"/>
        </w:rPr>
        <w:t xml:space="preserve"> and any other amendment or report filed for the purpose of updating such description. </w:t>
      </w:r>
    </w:p>
    <w:p>
      <w:pPr>
        <w:pStyle w:val="TextBody"/>
        <w:bidi w:val="0"/>
        <w:spacing w:before="0" w:after="0"/>
        <w:jc w:val="both"/>
        <w:rPr/>
      </w:pPr>
      <w:r>
        <w:rPr/>
        <w:t xml:space="preserve">  </w:t>
      </w:r>
    </w:p>
    <w:p>
      <w:pPr>
        <w:pStyle w:val="TextBody"/>
        <w:bidi w:val="0"/>
        <w:spacing w:before="0" w:after="0"/>
        <w:ind w:left="360" w:right="0" w:hanging="0"/>
        <w:jc w:val="both"/>
        <w:rPr/>
      </w:pPr>
      <w:r>
        <w:rPr>
          <w:sz w:val="20"/>
        </w:rPr>
        <w:t>All documents that the Registrant subsequently files pursuant to Sections 13(a), 13(c), 14 and 15(d) of the Exchange Act prior to the filing of a post-effective amendment to this Registration Statement that indicates that all of the shares of Common Stock offered have been sold or that deregisters all of such shares then remaining unsold, shall be deemed to be incorporated by reference in this Registration Statement and to be a part hereof from the date of the filing of such documents.</w:t>
      </w:r>
      <w:r>
        <w:rPr/>
        <w:t xml:space="preserve"> </w:t>
      </w:r>
    </w:p>
    <w:p>
      <w:pPr>
        <w:pStyle w:val="TextBody"/>
        <w:bidi w:val="0"/>
        <w:spacing w:before="0" w:after="0"/>
        <w:jc w:val="both"/>
        <w:rPr/>
      </w:pPr>
      <w:r>
        <w:rPr/>
        <w:t xml:space="preserve">  </w:t>
      </w:r>
    </w:p>
    <w:p>
      <w:pPr>
        <w:pStyle w:val="TextBody"/>
        <w:bidi w:val="0"/>
        <w:spacing w:before="0" w:after="0"/>
        <w:jc w:val="both"/>
        <w:rPr>
          <w:sz w:val="20"/>
        </w:rPr>
      </w:pPr>
      <w:r>
        <w:rPr>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w:t>
      </w:r>
      <w:r>
        <w:rPr>
          <w:spacing w:val="0"/>
          <w:sz w:val="20"/>
        </w:rPr>
        <w:t>Any such statement so modified or superseded shall not be deemed, except as so modified or superseded, to constitute a part of this Registration Statement.</w:t>
      </w:r>
    </w:p>
    <w:p>
      <w:pPr>
        <w:pStyle w:val="TextBody"/>
        <w:bidi w:val="0"/>
        <w:spacing w:before="0" w:after="0"/>
        <w:jc w:val="both"/>
        <w:rPr/>
      </w:pPr>
      <w:r>
        <w:rPr/>
        <w:t> </w:t>
      </w:r>
    </w:p>
    <w:p>
      <w:pPr>
        <w:pStyle w:val="TextBody"/>
        <w:bidi w:val="0"/>
        <w:spacing w:before="0" w:after="0"/>
        <w:jc w:val="both"/>
        <w:rPr/>
      </w:pPr>
      <w:r>
        <w:rPr>
          <w:sz w:val="20"/>
        </w:rPr>
        <w:t>Under no circumstances will any information filed under current items 2.02 or 7.01 of Form 8-K be deemed incorporated herein by reference unless such Form 8-K expressly provides to the contrary.</w:t>
      </w:r>
      <w:r>
        <w:rPr/>
        <w:t xml:space="preserve"> </w:t>
      </w:r>
    </w:p>
    <w:p>
      <w:pPr>
        <w:pStyle w:val="TextBody"/>
        <w:bidi w:val="0"/>
        <w:spacing w:before="0" w:after="0"/>
        <w:jc w:val="both"/>
        <w:rPr/>
      </w:pPr>
      <w:r>
        <w:rPr/>
        <w:t> </w:t>
      </w:r>
    </w:p>
    <w:p>
      <w:pPr>
        <w:pStyle w:val="TextBody"/>
        <w:bidi w:val="0"/>
        <w:spacing w:before="0" w:after="0"/>
        <w:ind w:left="0" w:right="0" w:hanging="720"/>
        <w:jc w:val="both"/>
        <w:rPr/>
      </w:pPr>
      <w:r>
        <w:rPr>
          <w:b/>
          <w:sz w:val="20"/>
        </w:rPr>
        <w:t>Description of Securities.</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4.</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4.</w:t>
                      </w:r>
                      <w:r>
                        <w:rPr/>
                        <w:t xml:space="preserve"> </w:t>
                      </w:r>
                    </w:p>
                  </w:txbxContent>
                </v:textbox>
                <w10:wrap type="square" side="right"/>
              </v:rect>
            </w:pict>
          </mc:Fallback>
        </mc:AlternateContent>
      </w:r>
    </w:p>
    <w:p>
      <w:pPr>
        <w:pStyle w:val="TextBody"/>
        <w:bidi w:val="0"/>
        <w:spacing w:before="0" w:after="0"/>
        <w:ind w:left="0" w:right="0" w:hanging="360"/>
        <w:jc w:val="both"/>
        <w:rPr/>
      </w:pPr>
      <w:r>
        <w:rPr/>
        <w:t> </w:t>
      </w:r>
    </w:p>
    <w:p>
      <w:pPr>
        <w:pStyle w:val="TextBody"/>
        <w:bidi w:val="0"/>
        <w:spacing w:before="0" w:after="0"/>
        <w:jc w:val="both"/>
        <w:rPr/>
      </w:pPr>
      <w:r>
        <w:rPr>
          <w:sz w:val="20"/>
        </w:rPr>
        <w:t>Not applicable.</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720"/>
        <w:jc w:val="both"/>
        <w:rPr/>
      </w:pPr>
      <w:r>
        <w:rPr>
          <w:b/>
          <w:sz w:val="20"/>
        </w:rPr>
        <w:t>Interests of Named Experts and Counsel</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5.</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5.</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both"/>
        <w:rPr/>
      </w:pPr>
      <w:r>
        <w:rPr>
          <w:sz w:val="20"/>
        </w:rPr>
        <w:t>Not applicable.</w:t>
      </w:r>
      <w:r>
        <w:rPr/>
        <w:t xml:space="preserve"> </w:t>
      </w:r>
    </w:p>
    <w:p>
      <w:pPr>
        <w:pStyle w:val="TextBody"/>
        <w:bidi w:val="0"/>
        <w:spacing w:before="0" w:after="0"/>
        <w:ind w:left="0" w:right="0" w:hanging="720"/>
        <w:jc w:val="left"/>
        <w:rPr/>
      </w:pPr>
      <w:r>
        <w:rPr/>
        <w:t> </w:t>
      </w:r>
    </w:p>
    <w:p>
      <w:pPr>
        <w:pStyle w:val="TextBody"/>
        <w:bidi w:val="0"/>
        <w:spacing w:before="0" w:after="0"/>
        <w:ind w:left="0" w:right="0" w:hanging="720"/>
        <w:jc w:val="left"/>
        <w:rPr/>
      </w:pPr>
      <w:r>
        <w:rPr>
          <w:b/>
          <w:sz w:val="20"/>
        </w:rPr>
        <w:t>Indemnification of Directors and Officers</w:t>
      </w:r>
      <w:r>
        <w:rPr>
          <w:sz w:val="20"/>
        </w:rPr>
        <w:t>.</w:t>
      </w: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6.</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6.</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both"/>
        <w:rPr/>
      </w:pPr>
      <w:r>
        <w:rPr>
          <w:sz w:val="20"/>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Our Charter provides that no director or officer of ours shall be personally liable to us or our stockholders for monetary damages for any breach of fiduciary duty as a director or officer, except for liability (a) for any breach of such person’s duty of loyalty to the Corporation or its stockholders, (b) for acts or omissions not in good faith or which involve intentional misconduct or a knowing violation of law, (c) under Section 174 of the DGCL or (d) for any transaction from which such person derived an improper personal benefit. In addition, our Charter provides that if the DGCL is amended to authorize the further elimination or limitation of the liability of directors or officers, then the liability of a director or officer of ours shall be eliminated or limited to the fullest extent permitted by the DGCL, as so amended.</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Our Charter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or officer, as applicable, serving at the time of such repeal or modification.</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Our Bylaws provide, in general,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the Company’s director or officer, or is or was serving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such officer or director indemnified in connection with a legal proceeding, subject to limited exceptions.</w:t>
      </w:r>
      <w:r>
        <w:rPr/>
        <w:t xml:space="preserve"> </w:t>
      </w:r>
    </w:p>
    <w:p>
      <w:pPr>
        <w:pStyle w:val="TextBody"/>
        <w:bidi w:val="0"/>
        <w:spacing w:before="0" w:after="0"/>
        <w:jc w:val="both"/>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sz w:val="20"/>
        </w:rPr>
        <w:t>We have entered into indemnification agreements with each of our directors and executive officers. These agreements provide that we will indemnify each of our directors and such officers to the fullest extent permitted by law and our Charter and our Bylaws.</w:t>
      </w:r>
      <w:r>
        <w:rPr/>
        <w:t xml:space="preserve"> </w:t>
      </w:r>
    </w:p>
    <w:p>
      <w:pPr>
        <w:pStyle w:val="TextBody"/>
        <w:bidi w:val="0"/>
        <w:spacing w:before="0" w:after="0"/>
        <w:jc w:val="both"/>
        <w:rPr/>
      </w:pPr>
      <w:r>
        <w:rPr/>
        <w:t xml:space="preserve">  </w:t>
      </w:r>
    </w:p>
    <w:p>
      <w:pPr>
        <w:pStyle w:val="TextBody"/>
        <w:bidi w:val="0"/>
        <w:spacing w:before="0" w:after="0"/>
        <w:jc w:val="both"/>
        <w:rPr/>
      </w:pPr>
      <w:r>
        <w:rPr>
          <w:sz w:val="20"/>
        </w:rPr>
        <w:t>We also maintain a general liability insurance policy, which will cover certain liabilities of directors and officers of ours arising out of claims based on acts or omissions in their capacities as directors or officers.</w:t>
      </w:r>
      <w:r>
        <w:rPr/>
        <w:t xml:space="preserve"> </w:t>
      </w:r>
    </w:p>
    <w:p>
      <w:pPr>
        <w:pStyle w:val="TextBody"/>
        <w:bidi w:val="0"/>
        <w:spacing w:before="0" w:after="0"/>
        <w:jc w:val="both"/>
        <w:rPr/>
      </w:pPr>
      <w:r>
        <w:rPr/>
        <w:t> </w:t>
      </w:r>
    </w:p>
    <w:p>
      <w:pPr>
        <w:pStyle w:val="TextBody"/>
        <w:bidi w:val="0"/>
        <w:spacing w:before="0" w:after="0"/>
        <w:ind w:left="0" w:right="0" w:hanging="720"/>
        <w:jc w:val="both"/>
        <w:rPr/>
      </w:pPr>
      <w:r>
        <w:rPr>
          <w:b/>
          <w:sz w:val="20"/>
        </w:rPr>
        <w:t>Exemption from Registration Claimed.</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7.</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7.</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both"/>
        <w:rPr/>
      </w:pPr>
      <w:r>
        <w:rPr>
          <w:sz w:val="20"/>
        </w:rPr>
        <w:t>Not applicable.</w:t>
      </w:r>
      <w:r>
        <w:rPr/>
        <w:t xml:space="preserve"> </w:t>
      </w:r>
    </w:p>
    <w:p>
      <w:pPr>
        <w:pStyle w:val="TextBody"/>
        <w:bidi w:val="0"/>
        <w:spacing w:before="0" w:after="0"/>
        <w:jc w:val="both"/>
        <w:rPr/>
      </w:pPr>
      <w:r>
        <w:rPr/>
        <w:t> </w:t>
      </w:r>
    </w:p>
    <w:p>
      <w:pPr>
        <w:pStyle w:val="TextBody"/>
        <w:bidi w:val="0"/>
        <w:spacing w:before="0" w:after="0"/>
        <w:ind w:left="0" w:right="0" w:hanging="720"/>
        <w:jc w:val="both"/>
        <w:rPr/>
      </w:pPr>
      <w:r>
        <w:rPr>
          <w:b/>
          <w:sz w:val="20"/>
        </w:rPr>
        <w:t>Exhibits.</w:t>
      </w:r>
      <w:r>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8.</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8.</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0" w:after="0"/>
        <w:jc w:val="both"/>
        <w:rPr>
          <w:b/>
          <w:sz w:val="20"/>
        </w:rPr>
      </w:pPr>
      <w:r>
        <w:rPr>
          <w:b/>
          <w:sz w:val="20"/>
        </w:rPr>
        <w:t xml:space="preserve">EXHIBIT INDEX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28" w:type="dxa"/>
          <w:right w:w="0" w:type="dxa"/>
        </w:tblCellMar>
      </w:tblPr>
      <w:tblGrid>
        <w:gridCol w:w="896"/>
        <w:gridCol w:w="146"/>
        <w:gridCol w:w="9163"/>
      </w:tblGrid>
      <w:tr>
        <w:trPr/>
        <w:tc>
          <w:tcPr>
            <w:tcW w:w="896" w:type="dxa"/>
            <w:tcBorders>
              <w:bottom w:val="single" w:sz="12" w:space="0" w:color="000000"/>
            </w:tcBorders>
            <w:vAlign w:val="center"/>
          </w:tcPr>
          <w:p>
            <w:pPr>
              <w:pStyle w:val="TableContents"/>
              <w:bidi w:val="0"/>
              <w:spacing w:before="0" w:after="0"/>
              <w:jc w:val="center"/>
              <w:rPr>
                <w:b/>
              </w:rPr>
            </w:pPr>
            <w:r>
              <w:rPr>
                <w:b/>
              </w:rPr>
              <w:t xml:space="preserve">Exhibit </w:t>
            </w:r>
          </w:p>
          <w:p>
            <w:pPr>
              <w:pStyle w:val="TableContents"/>
              <w:bidi w:val="0"/>
              <w:spacing w:before="0" w:after="0"/>
              <w:jc w:val="center"/>
              <w:rPr>
                <w:b/>
              </w:rPr>
            </w:pPr>
            <w:r>
              <w:rPr>
                <w:b/>
              </w:rPr>
              <w:t xml:space="preserve">No.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bottom w:val="single" w:sz="12" w:space="0" w:color="000000"/>
            </w:tcBorders>
            <w:vAlign w:val="center"/>
          </w:tcPr>
          <w:p>
            <w:pPr>
              <w:pStyle w:val="TableContents"/>
              <w:bidi w:val="0"/>
              <w:spacing w:before="0" w:after="0"/>
              <w:jc w:val="center"/>
              <w:rPr>
                <w:b/>
              </w:rPr>
            </w:pPr>
            <w:r>
              <w:rPr>
                <w:b/>
              </w:rPr>
              <w:t xml:space="preserve">Description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r:id="rId13">
              <w:r>
                <w:rPr>
                  <w:rStyle w:val="InternetLink"/>
                </w:rPr>
                <w:t>4.1</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Freenome, Inc. Certificate of Incorporation (incorporated by reference to Exhibit 3.1 to the Registrant’s Current Report on Form 8-K filed on July 24, 2026).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r:id="rId14">
              <w:r>
                <w:rPr>
                  <w:rStyle w:val="InternetLink"/>
                </w:rPr>
                <w:t>4.2</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Freenome, Inc. Bylaws (incorporated by reference to Exhibit 3.2 to the Registrant’s Current Report on Form 8-K filed on July 24, 2026).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w:anchor="ef20082631_ex5-1.htm">
              <w:r>
                <w:rPr>
                  <w:rStyle w:val="InternetLink"/>
                </w:rPr>
                <w:t>5.1*</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Opinion of Goodwin Procter LLP.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w:anchor="ef20082631_ex23-1.htm">
              <w:r>
                <w:rPr>
                  <w:rStyle w:val="InternetLink"/>
                </w:rPr>
                <w:t>23.1*</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Consent of Independent Registered Public Accounting Firm.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w:anchor="ef20082631_ex23-2.htm">
              <w:r>
                <w:rPr>
                  <w:rStyle w:val="InternetLink"/>
                </w:rPr>
                <w:t>23.2*</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Consent of WithumSmith+Brown, PC, former independent registered public accounting firm.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w:anchor="ef20082631_ex5-1.htm">
              <w:r>
                <w:rPr>
                  <w:rStyle w:val="InternetLink"/>
                </w:rPr>
                <w:t>23.3*</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Consent of Goodwin Procter LLP (included in Exhibit 5.1).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w:anchor="POA">
              <w:r>
                <w:rPr>
                  <w:rStyle w:val="InternetLink"/>
                </w:rPr>
                <w:t>24.1*</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Power of Attorney (included on signature page).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r:id="rId15">
              <w:r>
                <w:rPr>
                  <w:rStyle w:val="InternetLink"/>
                </w:rPr>
                <w:t>99.1</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Freenome, Inc. 2026 Equity Incentive Plan and forms of award agreements thereunder (incorporated by reference to Exhibit 10.15 to the Registrant’s Current Report on Form 8-K filed on July 24, 2026).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r:id="rId16">
              <w:r>
                <w:rPr>
                  <w:rStyle w:val="InternetLink"/>
                </w:rPr>
                <w:t>99.2</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Freenome, Inc. 2026 Employee Stock Purchase Plan (incorporated by reference to Exhibit 10.16 to the Registrant’s Current Report on Form 8-K filed on July 24, 2026). </w:t>
            </w:r>
          </w:p>
        </w:tc>
      </w:tr>
      <w:tr>
        <w:trPr/>
        <w:tc>
          <w:tcPr>
            <w:tcW w:w="896"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9163" w:type="dxa"/>
            <w:tcBorders/>
            <w:tcMar>
              <w:top w:w="28" w:type="dxa"/>
              <w:left w:w="28" w:type="dxa"/>
              <w:right w:w="28" w:type="dxa"/>
            </w:tcMar>
            <w:vAlign w:val="center"/>
          </w:tcPr>
          <w:p>
            <w:pPr>
              <w:pStyle w:val="TableContents"/>
              <w:bidi w:val="0"/>
              <w:spacing w:before="0" w:after="283"/>
              <w:jc w:val="left"/>
              <w:rPr/>
            </w:pPr>
            <w:r>
              <w:rPr/>
              <w:t> </w:t>
            </w:r>
          </w:p>
        </w:tc>
      </w:tr>
      <w:tr>
        <w:trPr/>
        <w:tc>
          <w:tcPr>
            <w:tcW w:w="896" w:type="dxa"/>
            <w:tcBorders/>
            <w:shd w:fill="CCEEFF" w:val="clear"/>
            <w:tcMar>
              <w:top w:w="28" w:type="dxa"/>
              <w:left w:w="28" w:type="dxa"/>
              <w:right w:w="28" w:type="dxa"/>
            </w:tcMar>
            <w:vAlign w:val="center"/>
          </w:tcPr>
          <w:p>
            <w:pPr>
              <w:pStyle w:val="TableContents"/>
              <w:bidi w:val="0"/>
              <w:spacing w:before="0" w:after="0"/>
              <w:jc w:val="left"/>
              <w:rPr/>
            </w:pPr>
            <w:hyperlink w:anchor="ef20082631_ex107.htm">
              <w:r>
                <w:rPr>
                  <w:rStyle w:val="InternetLink"/>
                </w:rPr>
                <w:t>107*</w:t>
              </w:r>
            </w:hyperlink>
            <w:r>
              <w:rPr/>
              <w:t xml:space="preserve"> </w:t>
            </w:r>
          </w:p>
        </w:tc>
        <w:tc>
          <w:tcPr>
            <w:tcW w:w="146" w:type="dxa"/>
            <w:tcBorders/>
            <w:shd w:fill="CCEEFF" w:val="clear"/>
            <w:tcMar>
              <w:top w:w="28" w:type="dxa"/>
              <w:left w:w="28" w:type="dxa"/>
              <w:right w:w="28" w:type="dxa"/>
            </w:tcMar>
            <w:vAlign w:val="center"/>
          </w:tcPr>
          <w:p>
            <w:pPr>
              <w:pStyle w:val="TableContents"/>
              <w:bidi w:val="0"/>
              <w:spacing w:before="0" w:after="283"/>
              <w:jc w:val="left"/>
              <w:rPr/>
            </w:pPr>
            <w:r>
              <w:rPr/>
              <w:t> </w:t>
            </w:r>
          </w:p>
        </w:tc>
        <w:tc>
          <w:tcPr>
            <w:tcW w:w="9163" w:type="dxa"/>
            <w:tcBorders/>
            <w:shd w:fill="CCEEFF" w:val="clear"/>
            <w:tcMar>
              <w:top w:w="28" w:type="dxa"/>
              <w:left w:w="28" w:type="dxa"/>
              <w:right w:w="28" w:type="dxa"/>
            </w:tcMar>
            <w:vAlign w:val="center"/>
          </w:tcPr>
          <w:p>
            <w:pPr>
              <w:pStyle w:val="TableContents"/>
              <w:bidi w:val="0"/>
              <w:spacing w:before="0" w:after="0"/>
              <w:jc w:val="left"/>
              <w:rPr/>
            </w:pPr>
            <w:r>
              <w:rPr/>
              <w:t xml:space="preserve">Filing Fee table. </w:t>
            </w:r>
          </w:p>
        </w:tc>
      </w:tr>
    </w:tbl>
    <w:p>
      <w:pPr>
        <w:pStyle w:val="TextBody"/>
        <w:bidi w:val="0"/>
        <w:spacing w:before="0" w:after="0"/>
        <w:jc w:val="left"/>
        <w:rPr/>
      </w:pPr>
      <w:r>
        <w:rPr/>
        <w:t xml:space="preserve">  </w:t>
      </w:r>
    </w:p>
    <w:p>
      <w:pPr>
        <w:pStyle w:val="TextBody"/>
        <w:bidi w:val="0"/>
        <w:spacing w:before="0" w:after="0"/>
        <w:jc w:val="left"/>
        <w:rPr/>
      </w:pPr>
      <w:r>
        <w:rPr>
          <w:sz w:val="20"/>
        </w:rPr>
        <w:t>* Filed herewith.</w:t>
      </w:r>
      <w:r>
        <w:rPr/>
        <w:t xml:space="preserve"> </w:t>
      </w:r>
    </w:p>
    <w:p>
      <w:pPr>
        <w:pStyle w:val="TextBody"/>
        <w:bidi w:val="0"/>
        <w:spacing w:before="0" w:after="0"/>
        <w:jc w:val="left"/>
        <w:rPr/>
      </w:pPr>
      <w:r>
        <w:rPr/>
        <w:t xml:space="preserve">  </w:t>
      </w:r>
    </w:p>
    <w:p>
      <w:pPr>
        <w:pStyle w:val="TextBody"/>
        <w:bidi w:val="0"/>
        <w:spacing w:before="0" w:after="0"/>
        <w:ind w:left="0" w:right="0" w:hanging="720"/>
        <w:jc w:val="left"/>
        <w:rPr>
          <w:b/>
          <w:sz w:val="20"/>
        </w:rPr>
      </w:pPr>
      <w:r>
        <w:rPr>
          <w:b/>
          <w:sz w:val="20"/>
        </w:rPr>
        <w:t xml:space="preserve">Undertakings.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b/>
                                <w:sz w:val="20"/>
                              </w:rPr>
                              <w:t>Item 9.</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sz w:val="20"/>
                        </w:rPr>
                        <w:t>Item 9.</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sz w:val="20"/>
        </w:rPr>
        <w:t>(a) The Registrant hereby undertakes:</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(1) To file, during any period in which offers or sales are being made, a post-effective amendment to this Registration Statement:</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(i) To include any prospectus required by Section 10(a)(3) of the Securities Act.</w:t>
      </w:r>
      <w:r>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Registration Statement.</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 xml:space="preserve">(iii) To include any material information with respect to the plan of distribution not previously disclosed in the Registration Statement or any material change to such information in the registration statement. </w:t>
      </w:r>
      <w:r>
        <w:rPr>
          <w:i/>
          <w:sz w:val="20"/>
        </w:rPr>
        <w:t>Provided, however</w:t>
      </w:r>
      <w:r>
        <w:rPr>
          <w:sz w:val="20"/>
        </w:rPr>
        <w:t>, that paragraphs (a)(1)(i) and (a)(1)(ii) herein do not apply if the information required to be included in a post-effective amendment by those paragraphs is contained in reports filed with or furnished to the Commission by the Registrant pursuant to Section 13 or Section 15(d) of the Exchange Act (15 U.S.C. 78m or 78o(d)) that are incorporated by reference in the Registration Statement.</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(2) 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(3) To remove from registration by means of a post-effective amendment any of the securities being registered which remain unsold at the termination of the offering.</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t xml:space="preserve"> </w:t>
      </w:r>
    </w:p>
    <w:p>
      <w:pPr>
        <w:pStyle w:val="TextBody"/>
        <w:bidi w:val="0"/>
        <w:spacing w:before="0" w:after="0"/>
        <w:jc w:val="left"/>
        <w:rPr/>
      </w:pPr>
      <w:r>
        <w:rPr/>
        <w:t xml:space="preserve">  </w:t>
      </w:r>
    </w:p>
    <w:p>
      <w:pPr>
        <w:pStyle w:val="TextBody"/>
        <w:bidi w:val="0"/>
        <w:spacing w:before="200" w:after="20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200" w:after="200"/>
        <w:jc w:val="left"/>
        <w:rPr/>
      </w:pPr>
      <w:r>
        <w:rPr/>
      </w:r>
    </w:p>
    <w:p>
      <w:pPr>
        <w:pStyle w:val="TextBody"/>
        <w:bidi w:val="0"/>
        <w:spacing w:before="200" w:after="20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r>
        <w:rPr>
          <w:b/>
          <w:sz w:val="20"/>
        </w:rPr>
        <w:t>SIGNATURES</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Brisbane, California, on this 23</w:t>
      </w:r>
      <w:r>
        <w:rPr>
          <w:sz w:val="14"/>
        </w:rPr>
        <w:t>rd</w:t>
      </w:r>
      <w:r>
        <w:rPr/>
        <w:t xml:space="preserve"> </w:t>
      </w:r>
      <w:r>
        <w:rPr>
          <w:sz w:val="20"/>
        </w:rPr>
        <w:t xml:space="preserve">day of September, 2026. </w:t>
      </w:r>
    </w:p>
    <w:p>
      <w:pPr>
        <w:pStyle w:val="TextBody"/>
        <w:bidi w:val="0"/>
        <w:spacing w:before="0" w:after="0"/>
        <w:jc w:val="left"/>
        <w:rPr/>
      </w:pPr>
      <w:r>
        <w:rPr/>
        <w:t xml:space="preserve">  </w:t>
      </w:r>
    </w:p>
    <w:tbl>
      <w:tblPr>
        <w:tblW w:w="3703" w:type="dxa"/>
        <w:jc w:val="left"/>
        <w:tblInd w:w="0" w:type="dxa"/>
        <w:tblLayout w:type="fixed"/>
        <w:tblCellMar>
          <w:top w:w="28" w:type="dxa"/>
          <w:left w:w="28" w:type="dxa"/>
          <w:bottom w:w="28" w:type="dxa"/>
          <w:right w:w="28" w:type="dxa"/>
        </w:tblCellMar>
      </w:tblPr>
      <w:tblGrid>
        <w:gridCol w:w="161"/>
        <w:gridCol w:w="511"/>
        <w:gridCol w:w="3031"/>
      </w:tblGrid>
      <w:tr>
        <w:trPr/>
        <w:tc>
          <w:tcPr>
            <w:tcW w:w="16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542" w:type="dxa"/>
            <w:gridSpan w:val="2"/>
            <w:tcBorders/>
            <w:vAlign w:val="center"/>
          </w:tcPr>
          <w:p>
            <w:pPr>
              <w:pStyle w:val="TableContents"/>
              <w:bidi w:val="0"/>
              <w:spacing w:before="0" w:after="0"/>
              <w:jc w:val="left"/>
              <w:rPr>
                <w:b/>
              </w:rPr>
            </w:pPr>
            <w:r>
              <w:rPr>
                <w:b/>
              </w:rPr>
              <w:t xml:space="preserve">FREENOME, INC. </w:t>
            </w:r>
          </w:p>
        </w:tc>
      </w:tr>
      <w:tr>
        <w:trPr/>
        <w:tc>
          <w:tcPr>
            <w:tcW w:w="16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0"/>
              <w:jc w:val="left"/>
              <w:rPr/>
            </w:pPr>
            <w:r>
              <w:rPr/>
              <w:t xml:space="preserve">By: </w:t>
            </w:r>
          </w:p>
        </w:tc>
        <w:tc>
          <w:tcPr>
            <w:tcW w:w="3031" w:type="dxa"/>
            <w:tcBorders>
              <w:bottom w:val="single" w:sz="12" w:space="0" w:color="000000"/>
            </w:tcBorders>
            <w:tcMar>
              <w:top w:w="0" w:type="dxa"/>
              <w:left w:w="0" w:type="dxa"/>
              <w:right w:w="0" w:type="dxa"/>
            </w:tcMar>
            <w:vAlign w:val="center"/>
          </w:tcPr>
          <w:p>
            <w:pPr>
              <w:pStyle w:val="TableContents"/>
              <w:bidi w:val="0"/>
              <w:spacing w:before="0" w:after="0"/>
              <w:jc w:val="left"/>
              <w:rPr>
                <w:u w:val="single"/>
              </w:rPr>
            </w:pPr>
            <w:r>
              <w:rPr>
                <w:u w:val="single"/>
              </w:rPr>
              <w:t xml:space="preserve">/s/ Aaron Elliott </w:t>
            </w:r>
          </w:p>
        </w:tc>
      </w:tr>
      <w:tr>
        <w:trPr/>
        <w:tc>
          <w:tcPr>
            <w:tcW w:w="161" w:type="dxa"/>
            <w:tcBorders/>
            <w:vAlign w:val="center"/>
          </w:tcPr>
          <w:p>
            <w:pPr>
              <w:pStyle w:val="TableContents"/>
              <w:bidi w:val="0"/>
              <w:spacing w:before="0" w:after="283"/>
              <w:jc w:val="left"/>
              <w:rPr/>
            </w:pPr>
            <w:r>
              <w:rPr/>
              <w:t> </w:t>
            </w:r>
          </w:p>
        </w:tc>
        <w:tc>
          <w:tcPr>
            <w:tcW w:w="511" w:type="dxa"/>
            <w:tcBorders/>
            <w:vAlign w:val="center"/>
          </w:tcPr>
          <w:p>
            <w:pPr>
              <w:pStyle w:val="TableContents"/>
              <w:bidi w:val="0"/>
              <w:spacing w:before="0" w:after="283"/>
              <w:jc w:val="left"/>
              <w:rPr/>
            </w:pPr>
            <w:r>
              <w:rPr/>
              <w:t> </w:t>
            </w:r>
          </w:p>
        </w:tc>
        <w:tc>
          <w:tcPr>
            <w:tcW w:w="3031" w:type="dxa"/>
            <w:tcBorders/>
            <w:vAlign w:val="center"/>
          </w:tcPr>
          <w:p>
            <w:pPr>
              <w:pStyle w:val="TableContents"/>
              <w:bidi w:val="0"/>
              <w:spacing w:before="0" w:after="0"/>
              <w:jc w:val="left"/>
              <w:rPr/>
            </w:pPr>
            <w:r>
              <w:rPr/>
              <w:t xml:space="preserve">Name: Aaron Elliott, Ph.D. </w:t>
            </w:r>
          </w:p>
          <w:p>
            <w:pPr>
              <w:pStyle w:val="TableContents"/>
              <w:bidi w:val="0"/>
              <w:spacing w:before="0" w:after="0"/>
              <w:jc w:val="left"/>
              <w:rPr/>
            </w:pPr>
            <w:r>
              <w:rPr/>
              <w:t xml:space="preserve">Title: Chief Executive Officer </w:t>
            </w:r>
          </w:p>
        </w:tc>
      </w:tr>
    </w:tbl>
    <w:p>
      <w:pPr>
        <w:pStyle w:val="TextBody"/>
        <w:bidi w:val="0"/>
        <w:spacing w:before="0" w:after="0"/>
        <w:jc w:val="left"/>
        <w:rPr/>
      </w:pPr>
      <w:r>
        <w:rPr/>
        <w:t xml:space="preserve">  </w:t>
      </w:r>
    </w:p>
    <w:p>
      <w:pPr>
        <w:pStyle w:val="TextBody"/>
        <w:bidi w:val="0"/>
        <w:spacing w:before="0" w:after="0"/>
        <w:jc w:val="center"/>
        <w:rPr/>
      </w:pPr>
      <w:bookmarkStart w:id="4" w:name="POA"/>
      <w:bookmarkEnd w:id="4"/>
      <w:r>
        <w:rPr>
          <w:b/>
          <w:sz w:val="20"/>
        </w:rPr>
        <w:t>POWER OF ATTORNEY AND SIGNATURES</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KNOW ALL BY THESE PRESENT, that each individual whose signature appears below hereby constitutes and appoints each of Aaron Elliott and Linh H. Le,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r>
        <w:rPr/>
        <w:t xml:space="preserve"> </w:t>
      </w:r>
    </w:p>
    <w:p>
      <w:pPr>
        <w:pStyle w:val="TextBody"/>
        <w:bidi w:val="0"/>
        <w:spacing w:before="0" w:after="0"/>
        <w:jc w:val="left"/>
        <w:rPr/>
      </w:pPr>
      <w:r>
        <w:rPr/>
        <w:t xml:space="preserve">  </w:t>
      </w:r>
    </w:p>
    <w:p>
      <w:pPr>
        <w:pStyle w:val="TextBody"/>
        <w:bidi w:val="0"/>
        <w:spacing w:before="0" w:after="0"/>
        <w:jc w:val="both"/>
        <w:rPr>
          <w:sz w:val="20"/>
        </w:rPr>
      </w:pPr>
      <w:r>
        <w:rPr>
          <w:sz w:val="20"/>
        </w:rPr>
        <w:t>Pursuant to the requirements of the Securities Act, this Registration Statement has been signed by the following persons in the capacities and on the date indicated.</w: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3716"/>
        <w:gridCol w:w="4325"/>
        <w:gridCol w:w="1826"/>
        <w:gridCol w:w="146"/>
        <w:gridCol w:w="192"/>
      </w:tblGrid>
      <w:tr>
        <w:trPr/>
        <w:tc>
          <w:tcPr>
            <w:tcW w:w="3716"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b/>
              </w:rPr>
            </w:pPr>
            <w:r>
              <w:rPr>
                <w:b/>
              </w:rPr>
              <w:t xml:space="preserve">NAME </w:t>
            </w:r>
          </w:p>
        </w:tc>
        <w:tc>
          <w:tcPr>
            <w:tcW w:w="4325" w:type="dxa"/>
            <w:tcBorders/>
            <w:vAlign w:val="center"/>
          </w:tcPr>
          <w:p>
            <w:pPr>
              <w:pStyle w:val="TableContents"/>
              <w:bidi w:val="0"/>
              <w:spacing w:before="0" w:after="283"/>
              <w:jc w:val="center"/>
              <w:rPr>
                <w:b/>
              </w:rPr>
            </w:pPr>
            <w:r>
              <w:rPr>
                <w:b/>
              </w:rPr>
              <w:t xml:space="preserve">TITLE </w:t>
            </w:r>
          </w:p>
        </w:tc>
        <w:tc>
          <w:tcPr>
            <w:tcW w:w="1826" w:type="dxa"/>
            <w:tcBorders/>
            <w:vAlign w:val="center"/>
          </w:tcPr>
          <w:p>
            <w:pPr>
              <w:pStyle w:val="TableContents"/>
              <w:bidi w:val="0"/>
              <w:spacing w:before="0" w:after="283"/>
              <w:jc w:val="center"/>
              <w:rPr>
                <w:b/>
              </w:rPr>
            </w:pPr>
            <w:r>
              <w:rPr>
                <w:b/>
              </w:rPr>
              <w:t xml:space="preserve">DATE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u w:val="single"/>
              </w:rPr>
              <w:t>/s/ Aaron Elliott</w:t>
            </w:r>
            <w:r>
              <w:rPr/>
              <w:t xml:space="preserve"> </w:t>
              <w:br/>
              <w:t xml:space="preserve">Aaron Elliott, Ph.D. </w:t>
            </w:r>
          </w:p>
        </w:tc>
        <w:tc>
          <w:tcPr>
            <w:tcW w:w="4325" w:type="dxa"/>
            <w:tcBorders/>
            <w:vAlign w:val="center"/>
          </w:tcPr>
          <w:p>
            <w:pPr>
              <w:pStyle w:val="TableContents"/>
              <w:bidi w:val="0"/>
              <w:spacing w:before="0" w:after="283"/>
              <w:jc w:val="center"/>
              <w:rPr/>
            </w:pPr>
            <w:r>
              <w:rPr/>
              <w:t xml:space="preserve">Chief Executive Officer and Director </w:t>
              <w:br/>
            </w:r>
            <w:r>
              <w:rPr>
                <w:i/>
              </w:rPr>
              <w:t>(Principal Executive Officer)</w:t>
            </w:r>
            <w:r>
              <w:rPr/>
              <w:t xml:space="preserve"> </w:t>
            </w:r>
          </w:p>
        </w:tc>
        <w:tc>
          <w:tcPr>
            <w:tcW w:w="1826" w:type="dxa"/>
            <w:tcBorders/>
            <w:vAlign w:val="center"/>
          </w:tcPr>
          <w:p>
            <w:pPr>
              <w:pStyle w:val="TableContents"/>
              <w:bidi w:val="0"/>
              <w:spacing w:before="0" w:after="0"/>
              <w:jc w:val="center"/>
              <w:rPr/>
            </w:pPr>
            <w:r>
              <w:rPr/>
              <w:t xml:space="preserve">September 23, 2026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u w:val="single"/>
              </w:rPr>
              <w:t xml:space="preserve">/s/ Linh H. Le </w:t>
            </w:r>
            <w:r>
              <w:rPr/>
              <w:br/>
              <w:t xml:space="preserve">Linh H. Le </w:t>
            </w:r>
          </w:p>
        </w:tc>
        <w:tc>
          <w:tcPr>
            <w:tcW w:w="4325" w:type="dxa"/>
            <w:tcBorders/>
            <w:vAlign w:val="center"/>
          </w:tcPr>
          <w:p>
            <w:pPr>
              <w:pStyle w:val="TableContents"/>
              <w:bidi w:val="0"/>
              <w:spacing w:before="0" w:after="283"/>
              <w:jc w:val="center"/>
              <w:rPr/>
            </w:pPr>
            <w:r>
              <w:rPr/>
              <w:t xml:space="preserve">Chief Financial Officer </w:t>
              <w:br/>
            </w:r>
            <w:r>
              <w:rPr>
                <w:i/>
              </w:rPr>
              <w:t xml:space="preserve">(Principal Financial and Principal Accounting Officer) </w:t>
            </w:r>
          </w:p>
        </w:tc>
        <w:tc>
          <w:tcPr>
            <w:tcW w:w="1826" w:type="dxa"/>
            <w:tcBorders/>
            <w:vAlign w:val="center"/>
          </w:tcPr>
          <w:p>
            <w:pPr>
              <w:pStyle w:val="TableContents"/>
              <w:bidi w:val="0"/>
              <w:spacing w:before="0" w:after="0"/>
              <w:jc w:val="center"/>
              <w:rPr/>
            </w:pPr>
            <w:r>
              <w:rPr/>
              <w:t xml:space="preserve">September 23, 2026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vMerge w:val="restart"/>
            <w:tcBorders/>
            <w:vAlign w:val="center"/>
          </w:tcPr>
          <w:p>
            <w:pPr>
              <w:pStyle w:val="TableContents"/>
              <w:bidi w:val="0"/>
              <w:spacing w:before="0" w:after="283"/>
              <w:jc w:val="center"/>
              <w:rPr/>
            </w:pPr>
            <w:r>
              <w:rPr>
                <w:u w:val="single"/>
              </w:rPr>
              <w:t xml:space="preserve">/s/ Ann Costello </w:t>
            </w:r>
            <w:r>
              <w:rPr/>
              <w:br/>
              <w:t xml:space="preserve">Ann Costello </w:t>
            </w:r>
          </w:p>
        </w:tc>
        <w:tc>
          <w:tcPr>
            <w:tcW w:w="4325" w:type="dxa"/>
            <w:vMerge w:val="restart"/>
            <w:tcBorders/>
            <w:vAlign w:val="center"/>
          </w:tcPr>
          <w:p>
            <w:pPr>
              <w:pStyle w:val="TableContents"/>
              <w:bidi w:val="0"/>
              <w:spacing w:before="0" w:after="283"/>
              <w:jc w:val="center"/>
              <w:rPr/>
            </w:pPr>
            <w:r>
              <w:rPr/>
              <w:t xml:space="preserve">Director </w:t>
            </w:r>
          </w:p>
        </w:tc>
        <w:tc>
          <w:tcPr>
            <w:tcW w:w="1826" w:type="dxa"/>
            <w:tcBorders/>
            <w:vAlign w:val="center"/>
          </w:tcPr>
          <w:p>
            <w:pPr>
              <w:pStyle w:val="TableContents"/>
              <w:bidi w:val="0"/>
              <w:spacing w:before="0" w:after="0"/>
              <w:jc w:val="center"/>
              <w:rPr/>
            </w:pPr>
            <w:r>
              <w:rPr/>
              <w:t xml:space="preserve">September 23, 2026 </w:t>
            </w:r>
          </w:p>
        </w:tc>
        <w:tc>
          <w:tcPr>
            <w:tcW w:w="146" w:type="dxa"/>
            <w:tcBorders/>
          </w:tcPr>
          <w:p>
            <w:pPr>
              <w:pStyle w:val="TableContents"/>
              <w:bidi w:val="0"/>
              <w:spacing w:before="0" w:after="283"/>
              <w:jc w:val="left"/>
              <w:rPr>
                <w:sz w:val="4"/>
                <w:szCs w:val="4"/>
              </w:rPr>
            </w:pPr>
            <w:r>
              <w:rPr>
                <w:sz w:val="4"/>
                <w:szCs w:val="4"/>
              </w:rPr>
            </w:r>
          </w:p>
        </w:tc>
        <w:tc>
          <w:tcPr>
            <w:tcW w:w="192" w:type="dxa"/>
            <w:tcBorders/>
          </w:tcPr>
          <w:p>
            <w:pPr>
              <w:pStyle w:val="TableContents"/>
              <w:bidi w:val="0"/>
              <w:spacing w:before="0" w:after="283"/>
              <w:jc w:val="left"/>
              <w:rPr>
                <w:sz w:val="4"/>
                <w:szCs w:val="4"/>
              </w:rPr>
            </w:pPr>
            <w:r>
              <w:rPr>
                <w:sz w:val="4"/>
                <w:szCs w:val="4"/>
              </w:rPr>
            </w:r>
          </w:p>
        </w:tc>
      </w:tr>
      <w:tr>
        <w:trPr/>
        <w:tc>
          <w:tcPr>
            <w:tcW w:w="3716" w:type="dxa"/>
            <w:vMerge w:val="continue"/>
            <w:tcBorders/>
            <w:vAlign w:val="center"/>
          </w:tcPr>
          <w:p>
            <w:pPr>
              <w:pStyle w:val="Normal"/>
              <w:bidi w:val="0"/>
              <w:jc w:val="left"/>
              <w:rPr/>
            </w:pPr>
            <w:r>
              <w:rPr/>
            </w:r>
          </w:p>
        </w:tc>
        <w:tc>
          <w:tcPr>
            <w:tcW w:w="4325" w:type="dxa"/>
            <w:vMerge w:val="continue"/>
            <w:tcBorders/>
            <w:vAlign w:val="center"/>
          </w:tcPr>
          <w:p>
            <w:pPr>
              <w:pStyle w:val="Normal"/>
              <w:bidi w:val="0"/>
              <w:jc w:val="left"/>
              <w:rPr/>
            </w:pPr>
            <w:r>
              <w:rPr/>
            </w:r>
          </w:p>
        </w:tc>
        <w:tc>
          <w:tcPr>
            <w:tcW w:w="1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3716" w:type="dxa"/>
            <w:tcBorders/>
            <w:vAlign w:val="center"/>
          </w:tcPr>
          <w:p>
            <w:pPr>
              <w:pStyle w:val="TableContents"/>
              <w:bidi w:val="0"/>
              <w:spacing w:before="0" w:after="283"/>
              <w:jc w:val="center"/>
              <w:rPr/>
            </w:pPr>
            <w:r>
              <w:rPr>
                <w:u w:val="single"/>
              </w:rPr>
              <w:t xml:space="preserve">/s/ Carole Nuechterlein </w:t>
            </w:r>
            <w:r>
              <w:rPr/>
              <w:br/>
              <w:t xml:space="preserve">Carole Nuechterlein </w:t>
            </w:r>
          </w:p>
        </w:tc>
        <w:tc>
          <w:tcPr>
            <w:tcW w:w="4325" w:type="dxa"/>
            <w:tcBorders/>
            <w:vAlign w:val="center"/>
          </w:tcPr>
          <w:p>
            <w:pPr>
              <w:pStyle w:val="TableContents"/>
              <w:bidi w:val="0"/>
              <w:spacing w:before="0" w:after="283"/>
              <w:jc w:val="center"/>
              <w:rPr/>
            </w:pPr>
            <w:r>
              <w:rPr/>
              <w:t xml:space="preserve">Director </w:t>
            </w:r>
          </w:p>
        </w:tc>
        <w:tc>
          <w:tcPr>
            <w:tcW w:w="1826" w:type="dxa"/>
            <w:tcBorders/>
            <w:vAlign w:val="center"/>
          </w:tcPr>
          <w:p>
            <w:pPr>
              <w:pStyle w:val="TableContents"/>
              <w:bidi w:val="0"/>
              <w:spacing w:before="0" w:after="0"/>
              <w:jc w:val="center"/>
              <w:rPr/>
            </w:pPr>
            <w:r>
              <w:rPr/>
              <w:t xml:space="preserve">September 23, 2026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u w:val="single"/>
              </w:rPr>
              <w:t>/s/ Deepika Pakianathan</w:t>
            </w:r>
            <w:r>
              <w:rPr/>
              <w:t xml:space="preserve"> Deepika Pakianathan </w:t>
            </w:r>
          </w:p>
        </w:tc>
        <w:tc>
          <w:tcPr>
            <w:tcW w:w="4325" w:type="dxa"/>
            <w:tcBorders/>
            <w:vAlign w:val="center"/>
          </w:tcPr>
          <w:p>
            <w:pPr>
              <w:pStyle w:val="TableContents"/>
              <w:bidi w:val="0"/>
              <w:spacing w:before="0" w:after="283"/>
              <w:jc w:val="center"/>
              <w:rPr/>
            </w:pPr>
            <w:r>
              <w:rPr/>
              <w:t xml:space="preserve">Director </w:t>
            </w:r>
          </w:p>
        </w:tc>
        <w:tc>
          <w:tcPr>
            <w:tcW w:w="1826" w:type="dxa"/>
            <w:tcBorders/>
            <w:vAlign w:val="center"/>
          </w:tcPr>
          <w:p>
            <w:pPr>
              <w:pStyle w:val="TableContents"/>
              <w:bidi w:val="0"/>
              <w:spacing w:before="0" w:after="0"/>
              <w:jc w:val="center"/>
              <w:rPr/>
            </w:pPr>
            <w:r>
              <w:rPr/>
              <w:t xml:space="preserve">September 23, 2026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u w:val="single"/>
              </w:rPr>
              <w:t xml:space="preserve">/s/ Randal Scott </w:t>
            </w:r>
            <w:r>
              <w:rPr/>
              <w:br/>
              <w:t xml:space="preserve">Randal Scott </w:t>
            </w:r>
          </w:p>
        </w:tc>
        <w:tc>
          <w:tcPr>
            <w:tcW w:w="4325" w:type="dxa"/>
            <w:tcBorders/>
            <w:vAlign w:val="center"/>
          </w:tcPr>
          <w:p>
            <w:pPr>
              <w:pStyle w:val="TableContents"/>
              <w:bidi w:val="0"/>
              <w:spacing w:before="0" w:after="283"/>
              <w:jc w:val="center"/>
              <w:rPr/>
            </w:pPr>
            <w:r>
              <w:rPr/>
              <w:t xml:space="preserve">Director </w:t>
            </w:r>
          </w:p>
        </w:tc>
        <w:tc>
          <w:tcPr>
            <w:tcW w:w="1826" w:type="dxa"/>
            <w:tcBorders/>
            <w:vAlign w:val="center"/>
          </w:tcPr>
          <w:p>
            <w:pPr>
              <w:pStyle w:val="TableContents"/>
              <w:bidi w:val="0"/>
              <w:spacing w:before="0" w:after="0"/>
              <w:jc w:val="center"/>
              <w:rPr/>
            </w:pPr>
            <w:r>
              <w:rPr/>
              <w:t xml:space="preserve">September 23, 2026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u w:val="single"/>
              </w:rPr>
              <w:t xml:space="preserve">/s/ Peter Kolchinsky </w:t>
            </w:r>
            <w:r>
              <w:rPr/>
              <w:br/>
              <w:t xml:space="preserve">Peter Kolchinsky </w:t>
            </w:r>
          </w:p>
        </w:tc>
        <w:tc>
          <w:tcPr>
            <w:tcW w:w="4325" w:type="dxa"/>
            <w:tcBorders/>
            <w:vAlign w:val="center"/>
          </w:tcPr>
          <w:p>
            <w:pPr>
              <w:pStyle w:val="TableContents"/>
              <w:bidi w:val="0"/>
              <w:spacing w:before="0" w:after="283"/>
              <w:jc w:val="center"/>
              <w:rPr/>
            </w:pPr>
            <w:r>
              <w:rPr/>
              <w:t xml:space="preserve">Director </w:t>
            </w:r>
          </w:p>
        </w:tc>
        <w:tc>
          <w:tcPr>
            <w:tcW w:w="1826" w:type="dxa"/>
            <w:tcBorders/>
            <w:vAlign w:val="center"/>
          </w:tcPr>
          <w:p>
            <w:pPr>
              <w:pStyle w:val="TableContents"/>
              <w:bidi w:val="0"/>
              <w:spacing w:before="0" w:after="0"/>
              <w:jc w:val="center"/>
              <w:rPr/>
            </w:pPr>
            <w:r>
              <w:rPr/>
              <w:t xml:space="preserve">September 23, 2026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c>
          <w:tcPr>
            <w:tcW w:w="1826" w:type="dxa"/>
            <w:tcBorders/>
            <w:vAlign w:val="center"/>
          </w:tcPr>
          <w:p>
            <w:pPr>
              <w:pStyle w:val="TableContents"/>
              <w:bidi w:val="0"/>
              <w:spacing w:before="0" w:after="283"/>
              <w:jc w:val="left"/>
              <w:rPr/>
            </w:pPr>
            <w:r>
              <w:rPr/>
              <w:t> </w:t>
            </w:r>
          </w:p>
        </w:tc>
        <w:tc>
          <w:tcPr>
            <w:tcW w:w="338" w:type="dxa"/>
            <w:gridSpan w:val="2"/>
            <w:tcBorders/>
          </w:tcPr>
          <w:p>
            <w:pPr>
              <w:pStyle w:val="TableContents"/>
              <w:bidi w:val="0"/>
              <w:spacing w:before="0" w:after="283"/>
              <w:jc w:val="left"/>
              <w:rPr>
                <w:sz w:val="4"/>
                <w:szCs w:val="4"/>
              </w:rPr>
            </w:pPr>
            <w:r>
              <w:rPr>
                <w:sz w:val="4"/>
                <w:szCs w:val="4"/>
              </w:rPr>
            </w:r>
          </w:p>
        </w:tc>
      </w:tr>
      <w:tr>
        <w:trPr/>
        <w:tc>
          <w:tcPr>
            <w:tcW w:w="3716" w:type="dxa"/>
            <w:tcBorders/>
            <w:vAlign w:val="center"/>
          </w:tcPr>
          <w:p>
            <w:pPr>
              <w:pStyle w:val="TableContents"/>
              <w:bidi w:val="0"/>
              <w:spacing w:before="0" w:after="283"/>
              <w:jc w:val="center"/>
              <w:rPr/>
            </w:pPr>
            <w:r>
              <w:rPr>
                <w:u w:val="single"/>
              </w:rPr>
              <w:t xml:space="preserve">/s/ Douglas VanOort </w:t>
            </w:r>
            <w:r>
              <w:rPr/>
              <w:br/>
              <w:t xml:space="preserve">Douglas VanOort </w:t>
            </w:r>
          </w:p>
        </w:tc>
        <w:tc>
          <w:tcPr>
            <w:tcW w:w="4325" w:type="dxa"/>
            <w:tcBorders/>
            <w:vAlign w:val="center"/>
          </w:tcPr>
          <w:p>
            <w:pPr>
              <w:pStyle w:val="TableContents"/>
              <w:bidi w:val="0"/>
              <w:spacing w:before="0" w:after="283"/>
              <w:jc w:val="center"/>
              <w:rPr/>
            </w:pPr>
            <w:r>
              <w:rPr/>
              <w:t xml:space="preserve">Director </w:t>
            </w:r>
          </w:p>
        </w:tc>
        <w:tc>
          <w:tcPr>
            <w:tcW w:w="1826" w:type="dxa"/>
            <w:tcBorders/>
            <w:vAlign w:val="center"/>
          </w:tcPr>
          <w:p>
            <w:pPr>
              <w:pStyle w:val="TableContents"/>
              <w:bidi w:val="0"/>
              <w:spacing w:before="0" w:after="0"/>
              <w:jc w:val="center"/>
              <w:rPr/>
            </w:pPr>
            <w:r>
              <w:rPr/>
              <w:t xml:space="preserve">September 23, 2026 </w:t>
            </w:r>
          </w:p>
        </w:tc>
        <w:tc>
          <w:tcPr>
            <w:tcW w:w="338"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5" w:name="ef20082631_ex5-1.htm"/>
      <w:bookmarkStart w:id="6" w:name="ksef20082631_ex51"/>
      <w:bookmarkStart w:id="7" w:name="ef20082631_ex5-1.htm"/>
      <w:bookmarkStart w:id="8" w:name="ksef20082631_ex51"/>
      <w:bookmarkEnd w:id="7"/>
      <w:bookmarkEnd w:id="8"/>
      <w:r>
        <w:br w:type="page"/>
      </w:r>
    </w:p>
    <w:p>
      <w:pPr>
        <w:pStyle w:val="TextBody"/>
        <w:bidi w:val="0"/>
        <w:spacing w:before="0" w:after="0"/>
        <w:jc w:val="right"/>
        <w:rPr>
          <w:sz w:val="20"/>
        </w:rPr>
      </w:pPr>
      <w:r>
        <w:rPr>
          <w:b/>
          <w:color w:val="000000"/>
          <w:sz w:val="20"/>
        </w:rPr>
        <w:t>Exhibit 5.1</w:t>
      </w:r>
      <w:r>
        <w:rPr>
          <w:sz w:val="20"/>
        </w:rPr>
        <w:t xml:space="preserve"> </w:t>
      </w:r>
    </w:p>
    <w:p>
      <w:pPr>
        <w:pStyle w:val="TextBody"/>
        <w:bidi w:val="0"/>
        <w:spacing w:before="0" w:after="0"/>
        <w:jc w:val="right"/>
        <w:rPr/>
      </w:pPr>
      <w:r>
        <w:rPr/>
        <w:t xml:space="preserve">  </w:t>
      </w:r>
    </w:p>
    <w:p>
      <w:pPr>
        <w:pStyle w:val="TextBody"/>
        <w:bidi w:val="0"/>
        <w:spacing w:before="0" w:after="0"/>
        <w:jc w:val="left"/>
        <w:rPr>
          <w:sz w:val="20"/>
        </w:rPr>
      </w:pPr>
      <w:r>
        <w:rPr>
          <w:color w:val="000000"/>
          <w:sz w:val="20"/>
        </w:rPr>
        <w:t>September 23, 2026</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sz w:val="20"/>
        </w:rPr>
        <w:t xml:space="preserve">Freenome, Inc. </w:t>
      </w:r>
    </w:p>
    <w:p>
      <w:pPr>
        <w:pStyle w:val="TextBody"/>
        <w:bidi w:val="0"/>
        <w:spacing w:before="0" w:after="0"/>
        <w:jc w:val="left"/>
        <w:rPr>
          <w:sz w:val="20"/>
        </w:rPr>
      </w:pPr>
      <w:r>
        <w:rPr>
          <w:sz w:val="20"/>
        </w:rPr>
        <w:t xml:space="preserve">3300 Marina Boulevard </w:t>
      </w:r>
    </w:p>
    <w:p>
      <w:pPr>
        <w:pStyle w:val="TextBody"/>
        <w:bidi w:val="0"/>
        <w:spacing w:before="0" w:after="0"/>
        <w:jc w:val="left"/>
        <w:rPr>
          <w:sz w:val="20"/>
        </w:rPr>
      </w:pPr>
      <w:r>
        <w:rPr>
          <w:sz w:val="20"/>
        </w:rPr>
        <w:t xml:space="preserve">Brisbane, CA 94005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 xml:space="preserve">Re: </w:t>
      </w:r>
      <w:r>
        <w:rPr>
          <w:color w:val="000000"/>
          <w:sz w:val="20"/>
          <w:u w:val="single"/>
        </w:rPr>
        <w:t>Securities Being Registered under Registration Statement on Form S-8</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We have acted as your counsel in connection with your filing of a Registration Statement on Form S-8 (the “Registration Statement”) pursuant to the Securities Act of 1933, as amended (the “Securities Act”), on or about the date hereof relating to an aggregate of 13,200,919 shares (the “Shares”) of Common Stock, par value $0.0001 per share (“Common Stock”), of Freenome, Inc., a Delaware corporation (the “Company”), that may be issued pursuant to the Freenome, Inc. 2026 Equity Incentive Plan and the Freenome, 2026 Employee Stock Purchase Plan (collectively, the “Plans”).</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For purposes of the opinion set forth below, we have assumed that, at the time Shares are issued, the total number of then unissued Shares, when added to the number of shares of Common Stock issued, subscribed for, or otherwise committed to be issued, does not exceed the number of shares of Common Stock authorized by the Company’s certificate of incorporation.</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The opinion set forth below is limited to the Delaware General Corporation Law.</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Based on the foregoing, we are of the opinion that the Shares have been duly authorized and, when delivered against payment therefor in accordance with the terms of the Plans, will be validly issued, fully paid and nonassessable.</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 xml:space="preserve">This opinion letter and the opinion it contains shall be interpreted in accordance with the Core Opinion Principles as published in 74 </w:t>
      </w:r>
      <w:r>
        <w:rPr>
          <w:i/>
          <w:color w:val="000000"/>
          <w:sz w:val="20"/>
        </w:rPr>
        <w:t>Business Lawyer</w:t>
      </w:r>
      <w:r>
        <w:rPr>
          <w:color w:val="000000"/>
          <w:sz w:val="20"/>
        </w:rPr>
        <w:t xml:space="preserve"> 815 (Summer 2019).</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r>
        <w:rPr>
          <w:sz w:val="20"/>
        </w:rPr>
        <w:t xml:space="preserve"> </w:t>
      </w:r>
    </w:p>
    <w:p>
      <w:pPr>
        <w:pStyle w:val="TextBody"/>
        <w:bidi w:val="0"/>
        <w:spacing w:before="0" w:after="0"/>
        <w:jc w:val="left"/>
        <w:rPr/>
      </w:pPr>
      <w:r>
        <w:rPr/>
        <w:t xml:space="preserve">  </w:t>
      </w:r>
    </w:p>
    <w:p>
      <w:pPr>
        <w:pStyle w:val="TextBody"/>
        <w:bidi w:val="0"/>
        <w:spacing w:before="0" w:after="0"/>
        <w:jc w:val="left"/>
        <w:rPr>
          <w:sz w:val="20"/>
        </w:rPr>
      </w:pPr>
      <w:r>
        <w:rPr>
          <w:color w:val="000000"/>
          <w:sz w:val="20"/>
        </w:rPr>
        <w:t>Very truly yours,</w:t>
      </w:r>
      <w:r>
        <w:rPr>
          <w:sz w:val="20"/>
        </w:rPr>
        <w:t xml:space="preserve"> </w:t>
      </w:r>
    </w:p>
    <w:p>
      <w:pPr>
        <w:pStyle w:val="TextBody"/>
        <w:bidi w:val="0"/>
        <w:spacing w:before="0" w:after="0"/>
        <w:jc w:val="left"/>
        <w:rPr/>
      </w:pPr>
      <w:r>
        <w:rPr/>
        <w:t xml:space="preserve">  </w:t>
      </w:r>
    </w:p>
    <w:p>
      <w:pPr>
        <w:pStyle w:val="TextBody"/>
        <w:bidi w:val="0"/>
        <w:spacing w:before="0" w:after="0"/>
        <w:jc w:val="left"/>
        <w:rPr>
          <w:color w:val="000000"/>
          <w:sz w:val="20"/>
        </w:rPr>
      </w:pPr>
      <w:r>
        <w:rPr>
          <w:color w:val="000000"/>
          <w:sz w:val="20"/>
        </w:rPr>
        <w:t>/s/ GOODWIN PROCTER LLP</w:t>
      </w:r>
    </w:p>
    <w:p>
      <w:pPr>
        <w:pStyle w:val="TextBody"/>
        <w:bidi w:val="0"/>
        <w:spacing w:before="0" w:after="0"/>
        <w:jc w:val="left"/>
        <w:rPr/>
      </w:pPr>
      <w:r>
        <w:rPr/>
        <w:t> </w:t>
      </w:r>
    </w:p>
    <w:p>
      <w:pPr>
        <w:pStyle w:val="TextBody"/>
        <w:bidi w:val="0"/>
        <w:spacing w:before="0" w:after="0"/>
        <w:jc w:val="left"/>
        <w:rPr>
          <w:sz w:val="20"/>
        </w:rPr>
      </w:pPr>
      <w:r>
        <w:rPr>
          <w:color w:val="000000"/>
          <w:sz w:val="20"/>
        </w:rPr>
        <w:t>GOODWIN PROCTER LLP</w:t>
      </w:r>
      <w:r>
        <w:rPr>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9" w:name="ef20082631_ex23-1.htm"/>
      <w:bookmarkStart w:id="10" w:name="ksef20082631_ex231"/>
      <w:bookmarkStart w:id="11" w:name="ef20082631_ex23-1.htm"/>
      <w:bookmarkStart w:id="12" w:name="ksef20082631_ex231"/>
      <w:bookmarkEnd w:id="11"/>
      <w:bookmarkEnd w:id="12"/>
      <w:r>
        <w:br w:type="page"/>
      </w:r>
    </w:p>
    <w:p>
      <w:pPr>
        <w:pStyle w:val="TextBody"/>
        <w:bidi w:val="0"/>
        <w:spacing w:before="0" w:after="0"/>
        <w:jc w:val="right"/>
        <w:rPr>
          <w:rFonts w:ascii="TimesNewRoman;Times New Roman;Times;Baskerville;Georgia;serif" w:hAnsi="TimesNewRoman;Times New Roman;Times;Baskerville;Georgia;serif"/>
          <w:b/>
          <w:sz w:val="20"/>
        </w:rPr>
      </w:pPr>
      <w:r>
        <w:rPr>
          <w:rFonts w:ascii="TimesNewRoman;Times New Roman;Times;Baskerville;Georgia;serif" w:hAnsi="TimesNewRoman;Times New Roman;Times;Baskerville;Georgia;serif"/>
          <w:b/>
          <w:sz w:val="20"/>
        </w:rPr>
        <w:t xml:space="preserve">Exhibit 23.1 </w:t>
      </w:r>
    </w:p>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NewRoman;Times New Roman;Times;Baskerville;Georgia;serif" w:hAnsi="TimesNewRoman;Times New Roman;Times;Baskerville;Georgia;serif"/>
          <w:color w:val="000000"/>
        </w:rPr>
      </w:pPr>
      <w:r>
        <w:rPr>
          <w:rFonts w:ascii="TimesNewRoman;Times New Roman;Times;Baskerville;Georgia;serif" w:hAnsi="TimesNewRoman;Times New Roman;Times;Baskerville;Georgia;serif"/>
          <w:b/>
          <w:color w:val="000000"/>
          <w:sz w:val="20"/>
        </w:rPr>
        <w:t>CONSENT OF INDEPENDENT REGISTERED PUBLIC ACCOUNTING FIRM</w:t>
      </w:r>
      <w:r>
        <w:rPr>
          <w:rFonts w:ascii="TimesNewRoman;Times New Roman;Times;Baskerville;Georgia;serif" w:hAnsi="TimesNewRoman;Times New Roman;Times;Baskerville;Georgia;serif"/>
          <w:color w:val="000000"/>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both"/>
        <w:rPr>
          <w:rFonts w:ascii="TimesNewRoman;Times New Roman;Times;Baskerville;Georgia;serif" w:hAnsi="TimesNewRoman;Times New Roman;Times;Baskerville;Georgia;serif"/>
          <w:color w:val="000000"/>
        </w:rPr>
      </w:pPr>
      <w:r>
        <w:rPr>
          <w:rFonts w:ascii="TimesNewRoman;Times New Roman;Times;Baskerville;Georgia;serif" w:hAnsi="TimesNewRoman;Times New Roman;Times;Baskerville;Georgia;serif"/>
          <w:color w:val="000000"/>
          <w:sz w:val="20"/>
        </w:rPr>
        <w:t>We consent to the incorporation by reference in the Registration Statement (Form S-8) pertaining to the Freenome, Inc. 2026 Equity Incentive Plan and the Freenome, Inc. 2026 Employee Stock Purchase Plan, of our report dated March 30, 2026, with respect to the consolidated financial statements of Freenome Holdings, Inc. included in the Registration Statement (Form S-4 No. 333-295377) of Freenome, Inc. (successor to Perceptive Capital Solutions Corp) and the related proxy/prospectus of Perceptive Capital Solutions Corp and Freenome Holdings, Inc. filed with the Securities and Exchange Commission.</w:t>
      </w:r>
      <w:r>
        <w:rPr>
          <w:rFonts w:ascii="TimesNewRoman;Times New Roman;Times;Baskerville;Georgia;serif" w:hAnsi="TimesNewRoman;Times New Roman;Times;Baskerville;Georgia;serif"/>
          <w:color w:val="000000"/>
        </w:rPr>
        <w:t xml:space="preserve"> </w:t>
      </w:r>
    </w:p>
    <w:p>
      <w:pPr>
        <w:pStyle w:val="TextBody"/>
        <w:bidi w:val="0"/>
        <w:spacing w:before="0" w:after="0"/>
        <w:jc w:val="left"/>
        <w:rPr>
          <w:color w:val="000000"/>
        </w:rPr>
      </w:pPr>
      <w:r>
        <w:rPr>
          <w:color w:val="000000"/>
        </w:rPr>
        <w:t xml:space="preserve">  </w:t>
      </w:r>
    </w:p>
    <w:p>
      <w:pPr>
        <w:pStyle w:val="TextBody"/>
        <w:bidi w:val="0"/>
        <w:spacing w:lineRule="atLeast" w:line="240" w:before="0" w:after="0"/>
        <w:jc w:val="left"/>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0"/>
        </w:rPr>
        <w:t>/s/ Ernst &amp; Young LLP</w:t>
      </w:r>
      <w:r>
        <w:rPr>
          <w:rFonts w:ascii="TimesNewRoman;Times New Roman;Times;Baskerville;Georgia;serif" w:hAnsi="TimesNewRoman;Times New Roman;Times;Baskerville;Georgia;serif"/>
          <w:sz w:val="24"/>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rFonts w:ascii="TimesNewRoman;Times New Roman;Times;Baskerville;Georgia;serif" w:hAnsi="TimesNewRoman;Times New Roman;Times;Baskerville;Georgia;serif"/>
          <w:color w:val="000000"/>
        </w:rPr>
      </w:pPr>
      <w:r>
        <w:rPr>
          <w:rFonts w:ascii="TimesNewRoman;Times New Roman;Times;Baskerville;Georgia;serif" w:hAnsi="TimesNewRoman;Times New Roman;Times;Baskerville;Georgia;serif"/>
          <w:color w:val="000000"/>
          <w:sz w:val="20"/>
        </w:rPr>
        <w:t>San Jose, California</w:t>
      </w:r>
      <w:r>
        <w:rPr>
          <w:rFonts w:ascii="TimesNewRoman;Times New Roman;Times;Baskerville;Georgia;serif" w:hAnsi="TimesNewRoman;Times New Roman;Times;Baskerville;Georgia;serif"/>
          <w:color w:val="000000"/>
        </w:rPr>
        <w:t xml:space="preserve"> </w:t>
      </w:r>
    </w:p>
    <w:p>
      <w:pPr>
        <w:pStyle w:val="TextBody"/>
        <w:bidi w:val="0"/>
        <w:spacing w:before="0" w:after="0"/>
        <w:jc w:val="left"/>
        <w:rPr>
          <w:rFonts w:ascii="TimesNewRoman;Times New Roman;Times;Baskerville;Georgia;serif" w:hAnsi="TimesNewRoman;Times New Roman;Times;Baskerville;Georgia;serif"/>
          <w:color w:val="000000"/>
        </w:rPr>
      </w:pPr>
      <w:r>
        <w:rPr>
          <w:rFonts w:ascii="TimesNewRoman;Times New Roman;Times;Baskerville;Georgia;serif" w:hAnsi="TimesNewRoman;Times New Roman;Times;Baskerville;Georgia;serif"/>
          <w:color w:val="000000"/>
          <w:sz w:val="20"/>
        </w:rPr>
        <w:t>September 23, 2026</w:t>
      </w:r>
      <w:r>
        <w:rPr>
          <w:rFonts w:ascii="TimesNewRoman;Times New Roman;Times;Baskerville;Georgia;serif" w:hAnsi="TimesNewRoman;Times New Roman;Times;Baskerville;Georgia;serif"/>
          <w:color w:val="00000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left"/>
        <w:rPr>
          <w:color w:val="000000"/>
        </w:rPr>
      </w:pPr>
      <w:r>
        <w:rPr>
          <w:color w:val="000000"/>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13" w:name="ef20082631_ex23-2.htm"/>
      <w:bookmarkStart w:id="14" w:name="ksef20082631_ex232"/>
      <w:bookmarkStart w:id="15" w:name="ef20082631_ex23-2.htm"/>
      <w:bookmarkStart w:id="16" w:name="ksef20082631_ex232"/>
      <w:bookmarkEnd w:id="15"/>
      <w:bookmarkEnd w:id="16"/>
      <w:r>
        <w:br w:type="page"/>
      </w:r>
    </w:p>
    <w:p>
      <w:pPr>
        <w:pStyle w:val="TextBody"/>
        <w:bidi w:val="0"/>
        <w:spacing w:before="0" w:after="0"/>
        <w:jc w:val="right"/>
        <w:rPr/>
      </w:pPr>
      <w:r>
        <w:rPr>
          <w:b/>
        </w:rPr>
        <w:t>Exhibit 23.2</w:t>
      </w:r>
      <w:r>
        <w:rPr/>
        <w:t xml:space="preserve"> </w:t>
      </w:r>
    </w:p>
    <w:p>
      <w:pPr>
        <w:pStyle w:val="TextBody"/>
        <w:bidi w:val="0"/>
        <w:spacing w:before="0" w:after="0"/>
        <w:jc w:val="center"/>
        <w:rPr/>
      </w:pPr>
      <w:r>
        <w:rPr/>
        <w:t xml:space="preserve">  </w:t>
      </w:r>
    </w:p>
    <w:p>
      <w:pPr>
        <w:pStyle w:val="TextBody"/>
        <w:bidi w:val="0"/>
        <w:spacing w:before="0" w:after="0"/>
        <w:jc w:val="center"/>
        <w:rPr/>
      </w:pPr>
      <w:r>
        <w:rPr>
          <w:b/>
        </w:rPr>
        <w:t>Consent of Independent Registered Public Accounting Firm</w:t>
      </w: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We consent to the incorporation by reference in this Registration Statement on Form S-8 of our report dated March 12, 2026 which includes an explanatory paragraph relating to Perceptive Capital Solutions Corp’s ability to continue as a going concern, relating to the consolidated financial statements of Perceptive Capital Solutions Corp as of December 31, 2025 and 2024 and for the year ended December 31, 2025 and for the period from March 22, 2024 (inception) through December 31, 2024. </w:t>
      </w:r>
    </w:p>
    <w:p>
      <w:pPr>
        <w:pStyle w:val="TextBody"/>
        <w:bidi w:val="0"/>
        <w:spacing w:before="0" w:after="0"/>
        <w:jc w:val="left"/>
        <w:rPr/>
      </w:pPr>
      <w:r>
        <w:rPr/>
        <w:t xml:space="preserve">  </w:t>
      </w:r>
    </w:p>
    <w:p>
      <w:pPr>
        <w:pStyle w:val="TextBody"/>
        <w:bidi w:val="0"/>
        <w:spacing w:before="0" w:after="0"/>
        <w:jc w:val="left"/>
        <w:rPr/>
      </w:pPr>
      <w:r>
        <w:rPr/>
        <w:t xml:space="preserve">/s/ WithumSmith+Brown, PC </w:t>
      </w:r>
    </w:p>
    <w:p>
      <w:pPr>
        <w:pStyle w:val="TextBody"/>
        <w:bidi w:val="0"/>
        <w:spacing w:before="0" w:after="0"/>
        <w:jc w:val="left"/>
        <w:rPr/>
      </w:pPr>
      <w:r>
        <w:rPr/>
        <w:t xml:space="preserve">  </w:t>
      </w:r>
    </w:p>
    <w:p>
      <w:pPr>
        <w:pStyle w:val="TextBody"/>
        <w:bidi w:val="0"/>
        <w:spacing w:before="0" w:after="0"/>
        <w:jc w:val="left"/>
        <w:rPr/>
      </w:pPr>
      <w:r>
        <w:rPr/>
        <w:t xml:space="preserve">New York, New York </w:t>
      </w:r>
    </w:p>
    <w:p>
      <w:pPr>
        <w:pStyle w:val="TextBody"/>
        <w:bidi w:val="0"/>
        <w:spacing w:before="0" w:after="0"/>
        <w:jc w:val="left"/>
        <w:rPr/>
      </w:pPr>
      <w:r>
        <w:rPr/>
        <w:t xml:space="preserve">September 23, 2026 </w:t>
      </w:r>
    </w:p>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17" w:name="ef20082631_ex107.htm"/>
      <w:bookmarkStart w:id="18" w:name="ksef20082631_ex107"/>
      <w:bookmarkStart w:id="19" w:name="ef20082631_ex107.htm"/>
      <w:bookmarkStart w:id="20" w:name="ksef20082631_ex107"/>
      <w:bookmarkEnd w:id="19"/>
      <w:bookmarkEnd w:id="20"/>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S-8</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rPr>
        <w:t>Freenome,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205" w:type="dxa"/>
        <w:jc w:val="left"/>
        <w:tblInd w:w="0" w:type="dxa"/>
        <w:tblLayout w:type="fixed"/>
        <w:tblCellMar>
          <w:top w:w="28" w:type="dxa"/>
          <w:left w:w="28" w:type="dxa"/>
          <w:bottom w:w="28" w:type="dxa"/>
          <w:right w:w="28" w:type="dxa"/>
        </w:tblCellMar>
      </w:tblPr>
      <w:tblGrid>
        <w:gridCol w:w="242"/>
        <w:gridCol w:w="963"/>
        <w:gridCol w:w="1081"/>
        <w:gridCol w:w="1303"/>
        <w:gridCol w:w="1211"/>
        <w:gridCol w:w="1209"/>
        <w:gridCol w:w="1623"/>
        <w:gridCol w:w="1127"/>
        <w:gridCol w:w="1446"/>
      </w:tblGrid>
      <w:tr>
        <w:trPr/>
        <w:tc>
          <w:tcPr>
            <w:tcW w:w="24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1211" w:type="dxa"/>
            <w:tcBorders/>
            <w:vAlign w:val="center"/>
          </w:tcPr>
          <w:p>
            <w:pPr>
              <w:pStyle w:val="TableContents"/>
              <w:bidi w:val="0"/>
              <w:spacing w:before="0" w:after="283"/>
              <w:jc w:val="left"/>
              <w:rPr/>
            </w:pPr>
            <w:r>
              <w:rPr/>
              <w:t> </w:t>
            </w:r>
          </w:p>
        </w:tc>
        <w:tc>
          <w:tcPr>
            <w:tcW w:w="1209"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1446" w:type="dxa"/>
            <w:tcBorders/>
            <w:vAlign w:val="center"/>
          </w:tcPr>
          <w:p>
            <w:pPr>
              <w:pStyle w:val="TableContents"/>
              <w:bidi w:val="0"/>
              <w:spacing w:before="0" w:after="283"/>
              <w:jc w:val="left"/>
              <w:rPr/>
            </w:pPr>
            <w:r>
              <w:rPr/>
              <w:t> </w:t>
            </w:r>
          </w:p>
        </w:tc>
      </w:tr>
      <w:tr>
        <w:trPr/>
        <w:tc>
          <w:tcPr>
            <w:tcW w:w="242"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t> </w:t>
            </w:r>
          </w:p>
        </w:tc>
        <w:tc>
          <w:tcPr>
            <w:tcW w:w="96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Security Type</w:t>
            </w:r>
            <w:r>
              <w:rPr/>
              <w:t xml:space="preserve"> </w:t>
            </w:r>
          </w:p>
        </w:tc>
        <w:tc>
          <w:tcPr>
            <w:tcW w:w="108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Security Class Title</w:t>
            </w:r>
            <w:r>
              <w:rPr/>
              <w:t xml:space="preserve"> </w:t>
            </w:r>
          </w:p>
        </w:tc>
        <w:tc>
          <w:tcPr>
            <w:tcW w:w="1303"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color w:val="000000"/>
              </w:rPr>
              <w:t>Fee Calculation Rule</w:t>
            </w:r>
            <w:r>
              <w:rPr/>
              <w:t xml:space="preserve"> </w:t>
            </w:r>
          </w:p>
        </w:tc>
        <w:tc>
          <w:tcPr>
            <w:tcW w:w="121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Amount Registered</w:t>
            </w:r>
            <w:r>
              <w:rPr/>
              <w:t xml:space="preserve"> </w:t>
            </w:r>
          </w:p>
        </w:tc>
        <w:tc>
          <w:tcPr>
            <w:tcW w:w="120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 xml:space="preserve">Proposed Maximum Offering </w:t>
              <w:br/>
              <w:t>Price Per Unit</w:t>
            </w:r>
            <w:r>
              <w:rPr/>
              <w:t xml:space="preserve"> </w:t>
            </w:r>
          </w:p>
        </w:tc>
        <w:tc>
          <w:tcPr>
            <w:tcW w:w="162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Maximum Aggregate</w:t>
              <w:br/>
              <w:t>Offering Price</w:t>
            </w:r>
            <w:r>
              <w:rPr/>
              <w:t xml:space="preserve"> </w:t>
            </w:r>
          </w:p>
        </w:tc>
        <w:tc>
          <w:tcPr>
            <w:tcW w:w="112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color w:val="000000"/>
              </w:rPr>
              <w:t>Fee Rate</w:t>
            </w:r>
            <w:r>
              <w:rPr/>
              <w:t xml:space="preserve"> </w:t>
            </w:r>
          </w:p>
        </w:tc>
        <w:tc>
          <w:tcPr>
            <w:tcW w:w="144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color w:val="000000"/>
              </w:rPr>
              <w:t>Amount of Registration Fee</w:t>
            </w:r>
            <w:r>
              <w:rPr/>
              <w:t xml:space="preserve"> </w:t>
            </w:r>
          </w:p>
        </w:tc>
      </w:tr>
      <w:tr>
        <w:trPr/>
        <w:tc>
          <w:tcPr>
            <w:tcW w:w="24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1</w:t>
            </w:r>
            <w:r>
              <w:rPr/>
              <w:t xml:space="preserve"> </w:t>
            </w:r>
          </w:p>
        </w:tc>
        <w:tc>
          <w:tcPr>
            <w:tcW w:w="96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10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Common stock, par value $0.0001 per share</w:t>
            </w:r>
            <w:r>
              <w:rPr/>
              <w:t xml:space="preserve"> </w:t>
            </w:r>
          </w:p>
        </w:tc>
        <w:tc>
          <w:tcPr>
            <w:tcW w:w="130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Other</w:t>
            </w:r>
            <w:r>
              <w:rPr/>
              <w:t xml:space="preserve"> </w:t>
            </w:r>
          </w:p>
        </w:tc>
        <w:tc>
          <w:tcPr>
            <w:tcW w:w="121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2,466,114</w:t>
            </w:r>
            <w:r>
              <w:rPr/>
              <w:t xml:space="preserve"> </w:t>
            </w:r>
          </w:p>
        </w:tc>
        <w:tc>
          <w:tcPr>
            <w:tcW w:w="120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$14.87</w:t>
            </w:r>
            <w:r>
              <w:rPr/>
              <w:t xml:space="preserve"> </w:t>
            </w:r>
          </w:p>
        </w:tc>
        <w:tc>
          <w:tcPr>
            <w:tcW w:w="162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$36,671,115.18</w:t>
            </w:r>
            <w:r>
              <w:rPr/>
              <w:t xml:space="preserve"> </w:t>
            </w:r>
          </w:p>
        </w:tc>
        <w:tc>
          <w:tcPr>
            <w:tcW w:w="112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0.0001381</w:t>
            </w:r>
            <w:r>
              <w:rPr/>
              <w:t xml:space="preserve"> </w:t>
            </w:r>
          </w:p>
        </w:tc>
        <w:tc>
          <w:tcPr>
            <w:tcW w:w="14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$5,064.28</w:t>
            </w:r>
            <w:r>
              <w:rPr/>
              <w:t xml:space="preserve"> </w:t>
            </w:r>
          </w:p>
        </w:tc>
      </w:tr>
      <w:tr>
        <w:trPr/>
        <w:tc>
          <w:tcPr>
            <w:tcW w:w="242"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2</w:t>
            </w:r>
            <w:r>
              <w:rPr/>
              <w:t xml:space="preserve"> </w:t>
            </w:r>
          </w:p>
        </w:tc>
        <w:tc>
          <w:tcPr>
            <w:tcW w:w="96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108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Common stock, par value $0.0001 per share</w:t>
            </w:r>
            <w:r>
              <w:rPr/>
              <w:t xml:space="preserve"> </w:t>
            </w:r>
          </w:p>
        </w:tc>
        <w:tc>
          <w:tcPr>
            <w:tcW w:w="130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Other</w:t>
            </w:r>
            <w:r>
              <w:rPr/>
              <w:t xml:space="preserve"> </w:t>
            </w:r>
          </w:p>
        </w:tc>
        <w:tc>
          <w:tcPr>
            <w:tcW w:w="121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8,272,601</w:t>
            </w:r>
            <w:r>
              <w:rPr/>
              <w:t xml:space="preserve"> </w:t>
            </w:r>
          </w:p>
        </w:tc>
        <w:tc>
          <w:tcPr>
            <w:tcW w:w="1209"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$7.90</w:t>
            </w:r>
            <w:r>
              <w:rPr/>
              <w:t xml:space="preserve"> </w:t>
            </w:r>
          </w:p>
        </w:tc>
        <w:tc>
          <w:tcPr>
            <w:tcW w:w="162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$65,353,547.90</w:t>
            </w:r>
            <w:r>
              <w:rPr/>
              <w:t xml:space="preserve"> </w:t>
            </w:r>
          </w:p>
        </w:tc>
        <w:tc>
          <w:tcPr>
            <w:tcW w:w="1127"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0.0001381</w:t>
            </w:r>
            <w:r>
              <w:rPr/>
              <w:t xml:space="preserve"> </w:t>
            </w:r>
          </w:p>
        </w:tc>
        <w:tc>
          <w:tcPr>
            <w:tcW w:w="14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$9,025.33</w:t>
            </w:r>
            <w:r>
              <w:rPr/>
              <w:t xml:space="preserve"> </w:t>
            </w:r>
          </w:p>
        </w:tc>
      </w:tr>
      <w:tr>
        <w:trPr/>
        <w:tc>
          <w:tcPr>
            <w:tcW w:w="242"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3</w:t>
            </w:r>
            <w:r>
              <w:rPr/>
              <w:t xml:space="preserve"> </w:t>
            </w:r>
          </w:p>
        </w:tc>
        <w:tc>
          <w:tcPr>
            <w:tcW w:w="96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Equity</w:t>
            </w:r>
            <w:r>
              <w:rPr/>
              <w:t xml:space="preserve"> </w:t>
            </w:r>
          </w:p>
        </w:tc>
        <w:tc>
          <w:tcPr>
            <w:tcW w:w="108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Common stock, par value $0.0001 per share</w:t>
            </w:r>
            <w:r>
              <w:rPr/>
              <w:t xml:space="preserve"> </w:t>
            </w:r>
          </w:p>
        </w:tc>
        <w:tc>
          <w:tcPr>
            <w:tcW w:w="130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Other</w:t>
            </w:r>
            <w:r>
              <w:rPr/>
              <w:t xml:space="preserve"> </w:t>
            </w:r>
          </w:p>
        </w:tc>
        <w:tc>
          <w:tcPr>
            <w:tcW w:w="121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2,462,204</w:t>
            </w:r>
            <w:r>
              <w:rPr/>
              <w:t xml:space="preserve"> </w:t>
            </w:r>
          </w:p>
        </w:tc>
        <w:tc>
          <w:tcPr>
            <w:tcW w:w="1209"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color w:val="000000"/>
              </w:rPr>
            </w:pPr>
            <w:r>
              <w:rPr>
                <w:color w:val="000000"/>
              </w:rPr>
              <w:t xml:space="preserve">$12.6395 </w:t>
            </w:r>
          </w:p>
        </w:tc>
        <w:tc>
          <w:tcPr>
            <w:tcW w:w="1623"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color w:val="000000"/>
              </w:rPr>
            </w:pPr>
            <w:r>
              <w:rPr>
                <w:color w:val="000000"/>
              </w:rPr>
              <w:t>$31,121,027.46</w:t>
            </w:r>
          </w:p>
        </w:tc>
        <w:tc>
          <w:tcPr>
            <w:tcW w:w="1127"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0.0001381</w:t>
            </w:r>
            <w:r>
              <w:rPr/>
              <w:t xml:space="preserve"> </w:t>
            </w:r>
          </w:p>
        </w:tc>
        <w:tc>
          <w:tcPr>
            <w:tcW w:w="14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4,297.81</w:t>
            </w:r>
            <w:r>
              <w:rPr/>
              <w:t xml:space="preserve"> </w:t>
            </w:r>
          </w:p>
        </w:tc>
      </w:tr>
      <w:tr>
        <w:trPr/>
        <w:tc>
          <w:tcPr>
            <w:tcW w:w="4800"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color w:val="000000"/>
              </w:rPr>
              <w:t>Total Offering Amounts</w:t>
            </w:r>
            <w:r>
              <w:rPr/>
              <w:t xml:space="preserve"> </w:t>
            </w:r>
          </w:p>
        </w:tc>
        <w:tc>
          <w:tcPr>
            <w:tcW w:w="1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23"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color w:val="000000"/>
              </w:rPr>
            </w:pPr>
            <w:r>
              <w:rPr>
                <w:color w:val="000000"/>
              </w:rPr>
              <w:t>133,145,690.54</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color w:val="000000"/>
              </w:rPr>
            </w:pPr>
            <w:r>
              <w:rPr>
                <w:color w:val="000000"/>
              </w:rPr>
              <w:t xml:space="preserve">$18,387.42 </w:t>
            </w:r>
          </w:p>
        </w:tc>
      </w:tr>
      <w:tr>
        <w:trPr/>
        <w:tc>
          <w:tcPr>
            <w:tcW w:w="4800" w:type="dxa"/>
            <w:gridSpan w:val="5"/>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pPr>
            <w:r>
              <w:rPr>
                <w:b/>
                <w:color w:val="000000"/>
              </w:rPr>
              <w:t>Total Fee Offsets</w:t>
            </w:r>
            <w:r>
              <w:rPr/>
              <w:t xml:space="preserve"> </w:t>
            </w:r>
          </w:p>
        </w:tc>
        <w:tc>
          <w:tcPr>
            <w:tcW w:w="1209"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623"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27"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4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color w:val="000000"/>
              </w:rPr>
              <w:t>$0.00</w:t>
            </w:r>
            <w:r>
              <w:rPr/>
              <w:t xml:space="preserve"> </w:t>
            </w:r>
          </w:p>
        </w:tc>
      </w:tr>
      <w:tr>
        <w:trPr/>
        <w:tc>
          <w:tcPr>
            <w:tcW w:w="4800" w:type="dxa"/>
            <w:gridSpan w:val="5"/>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pPr>
            <w:r>
              <w:rPr>
                <w:b/>
                <w:color w:val="000000"/>
              </w:rPr>
              <w:t>Net Fee Due</w:t>
            </w:r>
            <w:r>
              <w:rPr/>
              <w:t xml:space="preserve"> </w:t>
            </w:r>
          </w:p>
        </w:tc>
        <w:tc>
          <w:tcPr>
            <w:tcW w:w="12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62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2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4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color w:val="000000"/>
              </w:rPr>
              <w:t>$18,387.42</w:t>
            </w:r>
            <w:r>
              <w:rPr/>
              <w:t xml:space="preserve"> </w:t>
            </w:r>
          </w:p>
        </w:tc>
      </w:tr>
    </w:tbl>
    <w:p>
      <w:pPr>
        <w:pStyle w:val="TextBody"/>
        <w:bidi w:val="0"/>
        <w:spacing w:before="0" w:after="0"/>
        <w:jc w:val="left"/>
        <w:rPr>
          <w:rFonts w:ascii="Times New Roman" w:hAnsi="Times New Roman"/>
          <w:b/>
          <w:sz w:val="20"/>
        </w:rPr>
      </w:pPr>
      <w:r>
        <w:rPr>
          <w:rFonts w:ascii="Times New Roman" w:hAnsi="Times New Roman"/>
          <w:b/>
          <w:sz w:val="20"/>
        </w:rPr>
        <w:t>Offering Note</w:t>
      </w:r>
    </w:p>
    <w:tbl>
      <w:tblPr>
        <w:tblW w:w="10205" w:type="dxa"/>
        <w:jc w:val="left"/>
        <w:tblInd w:w="0" w:type="dxa"/>
        <w:tblLayout w:type="fixed"/>
        <w:tblCellMar>
          <w:top w:w="28" w:type="dxa"/>
          <w:left w:w="28" w:type="dxa"/>
          <w:bottom w:w="28" w:type="dxa"/>
          <w:right w:w="28" w:type="dxa"/>
        </w:tblCellMar>
      </w:tblPr>
      <w:tblGrid>
        <w:gridCol w:w="226"/>
        <w:gridCol w:w="268"/>
        <w:gridCol w:w="9711"/>
      </w:tblGrid>
      <w:tr>
        <w:trPr/>
        <w:tc>
          <w:tcPr>
            <w:tcW w:w="226"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9711" w:type="dxa"/>
            <w:tcBorders/>
            <w:vAlign w:val="center"/>
          </w:tcPr>
          <w:p>
            <w:pPr>
              <w:pStyle w:val="TableContents"/>
              <w:bidi w:val="0"/>
              <w:spacing w:before="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80"/>
              <w:jc w:val="left"/>
              <w:rPr>
                <w:sz w:val="20"/>
              </w:rPr>
            </w:pPr>
            <w:r>
              <w:rPr>
                <w:sz w:val="20"/>
              </w:rPr>
              <w:t>1</w:t>
            </w:r>
          </w:p>
        </w:tc>
        <w:tc>
          <w:tcPr>
            <w:tcW w:w="268" w:type="dxa"/>
            <w:tcBorders/>
            <w:tcMar>
              <w:top w:w="0" w:type="dxa"/>
              <w:left w:w="0" w:type="dxa"/>
              <w:bottom w:w="0" w:type="dxa"/>
              <w:right w:w="0" w:type="dxa"/>
            </w:tcMar>
            <w:vAlign w:val="center"/>
          </w:tcPr>
          <w:p>
            <w:pPr>
              <w:pStyle w:val="TableContents"/>
              <w:bidi w:val="0"/>
              <w:spacing w:before="0" w:after="80"/>
              <w:jc w:val="left"/>
              <w:rPr/>
            </w:pPr>
            <w:r>
              <w:rPr>
                <w:sz w:val="20"/>
              </w:rPr>
              <w:t>(a)</w:t>
            </w:r>
            <w:r>
              <w:rPr/>
              <w:t xml:space="preserve"> </w:t>
            </w:r>
          </w:p>
        </w:tc>
        <w:tc>
          <w:tcPr>
            <w:tcW w:w="9711" w:type="dxa"/>
            <w:tcBorders/>
            <w:tcMar>
              <w:top w:w="0" w:type="dxa"/>
              <w:left w:w="0" w:type="dxa"/>
              <w:bottom w:w="0" w:type="dxa"/>
              <w:right w:w="0" w:type="dxa"/>
            </w:tcMar>
            <w:vAlign w:val="center"/>
          </w:tcPr>
          <w:p>
            <w:pPr>
              <w:pStyle w:val="TableContents"/>
              <w:bidi w:val="0"/>
              <w:spacing w:before="0" w:after="80"/>
              <w:jc w:val="left"/>
              <w:rPr/>
            </w:pPr>
            <w:r>
              <w:rPr>
                <w:sz w:val="20"/>
              </w:rPr>
              <w:t>On July 20, 2026 (the "Closing Date"), Freenome, Inc. (previously named Perceptive Capital Solutions Corp, the "Registrant") consummated a business combination (the "Business Combination") pursuant to the terms of the business combination agreement, dated December 5, 2025 and amended on July 20, 2026, with StarNet Merger Sub I, Corp., StarNet Merger Sub II, LLC, and Freenome Holdings, Inc. ("Legacy Freenome"). Pursuant to Rule 416, under the Securities Act of 1933, as amended (the "Securities Act"), this Registration Statement on Form S-8 ("Registration Statement") shall also cover any additional shares of common stock, $0.0001 per value per share (the " Common Stock") of the Registrant that become issuable under the Freenome, Inc. 2026 Equity Incentive Plan (the "2026 Plan") and the Freenome, Inc. 2026 Employee Stock Purchase Plan (the "2026 ESPP") by reason of any stock dividend, stock split, recapitalization or any other similar transactions.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
        <w:gridCol w:w="288"/>
        <w:gridCol w:w="9756"/>
      </w:tblGrid>
      <w:tr>
        <w:trPr/>
        <w:tc>
          <w:tcPr>
            <w:tcW w:w="161"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 </w:t>
            </w:r>
          </w:p>
        </w:tc>
        <w:tc>
          <w:tcPr>
            <w:tcW w:w="9756"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80"/>
              <w:jc w:val="left"/>
              <w:rPr/>
            </w:pPr>
            <w:r>
              <w:rPr/>
              <w:t> </w:t>
            </w:r>
          </w:p>
        </w:tc>
        <w:tc>
          <w:tcPr>
            <w:tcW w:w="288" w:type="dxa"/>
            <w:tcBorders/>
            <w:tcMar>
              <w:top w:w="0" w:type="dxa"/>
              <w:left w:w="0" w:type="dxa"/>
              <w:bottom w:w="0" w:type="dxa"/>
              <w:right w:w="0" w:type="dxa"/>
            </w:tcMar>
            <w:vAlign w:val="center"/>
          </w:tcPr>
          <w:p>
            <w:pPr>
              <w:pStyle w:val="TableContents"/>
              <w:bidi w:val="0"/>
              <w:spacing w:before="0" w:after="80"/>
              <w:jc w:val="left"/>
              <w:rPr/>
            </w:pPr>
            <w:r>
              <w:rPr>
                <w:sz w:val="20"/>
              </w:rPr>
              <w:t>(b)</w:t>
            </w:r>
            <w:r>
              <w:rPr/>
              <w:t xml:space="preserve"> </w:t>
            </w:r>
          </w:p>
        </w:tc>
        <w:tc>
          <w:tcPr>
            <w:tcW w:w="9756" w:type="dxa"/>
            <w:tcBorders/>
            <w:tcMar>
              <w:top w:w="0" w:type="dxa"/>
              <w:left w:w="0" w:type="dxa"/>
              <w:bottom w:w="0" w:type="dxa"/>
              <w:right w:w="0" w:type="dxa"/>
            </w:tcMar>
            <w:vAlign w:val="center"/>
          </w:tcPr>
          <w:p>
            <w:pPr>
              <w:pStyle w:val="TableContents"/>
              <w:bidi w:val="0"/>
              <w:spacing w:before="0" w:after="80"/>
              <w:jc w:val="left"/>
              <w:rPr/>
            </w:pPr>
            <w:r>
              <w:rPr>
                <w:sz w:val="20"/>
              </w:rPr>
              <w:t>Represents 2,466,114 shares of Common Stock reserved and available for future issuance under the 2026 Plan. To the extent outstanding equity awards granted under the 2026 Plan are cancelled, forfeited, or otherwise terminated without being exercised, the number of shares underlying such awards will be available for future grant under the 2026 Plan. The 2026 Plan provides that the number of shares reserved and available for issuance thereunder will automatically increase on January 1, 2027 and each January 1 thereafter by (i) 5% of the sum of Outstanding Shares (as defined in the 2026 Plan) on the immediately preceding December 31 or (ii) such lesser number of shares as determined by the administrator of the 2026 Plan.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
        <w:gridCol w:w="285"/>
        <w:gridCol w:w="9759"/>
      </w:tblGrid>
      <w:tr>
        <w:trPr/>
        <w:tc>
          <w:tcPr>
            <w:tcW w:w="161"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9759"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80"/>
              <w:jc w:val="left"/>
              <w:rPr/>
            </w:pPr>
            <w:r>
              <w:rPr/>
              <w:t> </w:t>
            </w:r>
          </w:p>
        </w:tc>
        <w:tc>
          <w:tcPr>
            <w:tcW w:w="285" w:type="dxa"/>
            <w:tcBorders/>
            <w:tcMar>
              <w:top w:w="0" w:type="dxa"/>
              <w:left w:w="0" w:type="dxa"/>
              <w:bottom w:w="0" w:type="dxa"/>
              <w:right w:w="0" w:type="dxa"/>
            </w:tcMar>
            <w:vAlign w:val="center"/>
          </w:tcPr>
          <w:p>
            <w:pPr>
              <w:pStyle w:val="TableContents"/>
              <w:bidi w:val="0"/>
              <w:spacing w:before="0" w:after="80"/>
              <w:jc w:val="left"/>
              <w:rPr/>
            </w:pPr>
            <w:r>
              <w:rPr>
                <w:sz w:val="20"/>
              </w:rPr>
              <w:t>(c)</w:t>
            </w:r>
            <w:r>
              <w:rPr/>
              <w:t xml:space="preserve"> </w:t>
            </w:r>
          </w:p>
        </w:tc>
        <w:tc>
          <w:tcPr>
            <w:tcW w:w="9759"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the purposes of calculating the registration fee pursuant to rule 457(c) of the Securities Act, and based on $14.87, the average of the high and low sales prices of the Common Stock as reported on the Nasdaq Stock Market ("Nasdaq") on September 16, 2026 (such date being within five business days of the date that this Registration Statement was filed with the Securities and Exchange Commission ("Commission")).</w:t>
            </w:r>
            <w:r>
              <w:rPr/>
              <w:t xml:space="preserve"> </w:t>
            </w:r>
          </w:p>
        </w:tc>
      </w:tr>
    </w:tbl>
    <w:tbl>
      <w:tblPr>
        <w:tblW w:w="1878" w:type="dxa"/>
        <w:jc w:val="left"/>
        <w:tblInd w:w="0" w:type="dxa"/>
        <w:tblLayout w:type="fixed"/>
        <w:tblCellMar>
          <w:top w:w="28" w:type="dxa"/>
          <w:left w:w="28" w:type="dxa"/>
          <w:bottom w:w="28" w:type="dxa"/>
          <w:right w:w="28" w:type="dxa"/>
        </w:tblCellMar>
      </w:tblPr>
      <w:tblGrid>
        <w:gridCol w:w="226"/>
        <w:gridCol w:w="376"/>
        <w:gridCol w:w="1276"/>
      </w:tblGrid>
      <w:tr>
        <w:trPr/>
        <w:tc>
          <w:tcPr>
            <w:tcW w:w="22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80"/>
              <w:jc w:val="left"/>
              <w:rPr>
                <w:sz w:val="20"/>
              </w:rPr>
            </w:pPr>
            <w:r>
              <w:rPr>
                <w:sz w:val="20"/>
              </w:rPr>
              <w:t>2</w:t>
            </w:r>
          </w:p>
        </w:tc>
        <w:tc>
          <w:tcPr>
            <w:tcW w:w="376" w:type="dxa"/>
            <w:tcBorders/>
            <w:tcMar>
              <w:top w:w="0" w:type="dxa"/>
              <w:left w:w="0" w:type="dxa"/>
              <w:bottom w:w="0" w:type="dxa"/>
              <w:right w:w="0" w:type="dxa"/>
            </w:tcMar>
            <w:vAlign w:val="center"/>
          </w:tcPr>
          <w:p>
            <w:pPr>
              <w:pStyle w:val="TableContents"/>
              <w:bidi w:val="0"/>
              <w:spacing w:before="0" w:after="80"/>
              <w:jc w:val="left"/>
              <w:rPr/>
            </w:pPr>
            <w:r>
              <w:rPr>
                <w:sz w:val="20"/>
              </w:rPr>
              <w:t>(a)</w:t>
            </w:r>
            <w:r>
              <w:rPr/>
              <w:t xml:space="preserve"> </w:t>
            </w:r>
          </w:p>
        </w:tc>
        <w:tc>
          <w:tcPr>
            <w:tcW w:w="1276" w:type="dxa"/>
            <w:tcBorders/>
            <w:tcMar>
              <w:top w:w="0" w:type="dxa"/>
              <w:left w:w="0" w:type="dxa"/>
              <w:bottom w:w="0" w:type="dxa"/>
              <w:right w:w="0" w:type="dxa"/>
            </w:tcMar>
            <w:vAlign w:val="center"/>
          </w:tcPr>
          <w:p>
            <w:pPr>
              <w:pStyle w:val="TableContents"/>
              <w:bidi w:val="0"/>
              <w:spacing w:before="0" w:after="80"/>
              <w:jc w:val="left"/>
              <w:rPr/>
            </w:pPr>
            <w:r>
              <w:rPr>
                <w:sz w:val="20"/>
              </w:rPr>
              <w:t>see note 1(a).</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
        <w:gridCol w:w="295"/>
        <w:gridCol w:w="9749"/>
      </w:tblGrid>
      <w:tr>
        <w:trPr/>
        <w:tc>
          <w:tcPr>
            <w:tcW w:w="161"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c>
          <w:tcPr>
            <w:tcW w:w="9749"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80"/>
              <w:jc w:val="left"/>
              <w:rPr/>
            </w:pPr>
            <w:r>
              <w:rPr/>
              <w:t> </w:t>
            </w:r>
          </w:p>
        </w:tc>
        <w:tc>
          <w:tcPr>
            <w:tcW w:w="295" w:type="dxa"/>
            <w:tcBorders/>
            <w:tcMar>
              <w:top w:w="0" w:type="dxa"/>
              <w:left w:w="0" w:type="dxa"/>
              <w:bottom w:w="0" w:type="dxa"/>
              <w:right w:w="0" w:type="dxa"/>
            </w:tcMar>
            <w:vAlign w:val="center"/>
          </w:tcPr>
          <w:p>
            <w:pPr>
              <w:pStyle w:val="TableContents"/>
              <w:bidi w:val="0"/>
              <w:spacing w:before="0" w:after="80"/>
              <w:jc w:val="left"/>
              <w:rPr/>
            </w:pPr>
            <w:r>
              <w:rPr>
                <w:sz w:val="20"/>
              </w:rPr>
              <w:t>(b)</w:t>
            </w:r>
            <w:r>
              <w:rPr/>
              <w:t xml:space="preserve"> </w:t>
            </w:r>
          </w:p>
        </w:tc>
        <w:tc>
          <w:tcPr>
            <w:tcW w:w="9749" w:type="dxa"/>
            <w:tcBorders/>
            <w:tcMar>
              <w:top w:w="0" w:type="dxa"/>
              <w:left w:w="0" w:type="dxa"/>
              <w:bottom w:w="0" w:type="dxa"/>
              <w:right w:w="0" w:type="dxa"/>
            </w:tcMar>
            <w:vAlign w:val="center"/>
          </w:tcPr>
          <w:p>
            <w:pPr>
              <w:pStyle w:val="TableContents"/>
              <w:bidi w:val="0"/>
              <w:spacing w:before="0" w:after="80"/>
              <w:jc w:val="left"/>
              <w:rPr/>
            </w:pPr>
            <w:r>
              <w:rPr>
                <w:sz w:val="20"/>
              </w:rPr>
              <w:t>Represents 8,272,601 shares of Common Stock issuable with respect to the vested Legacy Freenome Options that were cancelled and exchanged for Registrant Options under the 2026 Plan. Following the Closing Date, Legacy Freenome did not grant any further awards under the 2016 Plan. To the extent outstanding options granted under the 2026 Plan are cancelled, forfeited or otherwise terminated without being exercised, the number of shares underlying such awards will be available for future grant under the 2026 plan.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
        <w:gridCol w:w="313"/>
        <w:gridCol w:w="9731"/>
      </w:tblGrid>
      <w:tr>
        <w:trPr/>
        <w:tc>
          <w:tcPr>
            <w:tcW w:w="161" w:type="dxa"/>
            <w:tcBorders/>
            <w:vAlign w:val="center"/>
          </w:tcPr>
          <w:p>
            <w:pPr>
              <w:pStyle w:val="TableContents"/>
              <w:bidi w:val="0"/>
              <w:spacing w:before="0" w:after="283"/>
              <w:jc w:val="left"/>
              <w:rPr/>
            </w:pPr>
            <w:r>
              <w:rPr/>
              <w:t> </w:t>
            </w:r>
          </w:p>
        </w:tc>
        <w:tc>
          <w:tcPr>
            <w:tcW w:w="313" w:type="dxa"/>
            <w:tcBorders/>
            <w:vAlign w:val="center"/>
          </w:tcPr>
          <w:p>
            <w:pPr>
              <w:pStyle w:val="TableContents"/>
              <w:bidi w:val="0"/>
              <w:spacing w:before="0" w:after="283"/>
              <w:jc w:val="left"/>
              <w:rPr/>
            </w:pPr>
            <w:r>
              <w:rPr/>
              <w:t> </w:t>
            </w:r>
          </w:p>
        </w:tc>
        <w:tc>
          <w:tcPr>
            <w:tcW w:w="9731"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80"/>
              <w:jc w:val="left"/>
              <w:rPr/>
            </w:pPr>
            <w:r>
              <w:rPr/>
              <w:t> </w:t>
            </w:r>
          </w:p>
        </w:tc>
        <w:tc>
          <w:tcPr>
            <w:tcW w:w="313" w:type="dxa"/>
            <w:tcBorders/>
            <w:tcMar>
              <w:top w:w="0" w:type="dxa"/>
              <w:left w:w="0" w:type="dxa"/>
              <w:bottom w:w="0" w:type="dxa"/>
              <w:right w:w="0" w:type="dxa"/>
            </w:tcMar>
            <w:vAlign w:val="center"/>
          </w:tcPr>
          <w:p>
            <w:pPr>
              <w:pStyle w:val="TableContents"/>
              <w:bidi w:val="0"/>
              <w:spacing w:before="0" w:after="80"/>
              <w:jc w:val="left"/>
              <w:rPr/>
            </w:pPr>
            <w:r>
              <w:rPr>
                <w:sz w:val="20"/>
              </w:rPr>
              <w:t>(c)</w:t>
            </w:r>
            <w:r>
              <w:rPr/>
              <w:t xml:space="preserve"> </w:t>
            </w:r>
          </w:p>
        </w:tc>
        <w:tc>
          <w:tcPr>
            <w:tcW w:w="9731"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the purpose of calculating the registration fee pursuant to Rule 457(h) of the Securities Act, and based on $7.90, which is the weighted average exercise price (rounded to the nearest cent) of such Registrant Options.</w:t>
            </w:r>
            <w:r>
              <w:rPr/>
              <w:t xml:space="preserve"> </w:t>
            </w:r>
          </w:p>
        </w:tc>
      </w:tr>
    </w:tbl>
    <w:tbl>
      <w:tblPr>
        <w:tblW w:w="1908" w:type="dxa"/>
        <w:jc w:val="left"/>
        <w:tblInd w:w="0" w:type="dxa"/>
        <w:tblLayout w:type="fixed"/>
        <w:tblCellMar>
          <w:top w:w="28" w:type="dxa"/>
          <w:left w:w="28" w:type="dxa"/>
          <w:bottom w:w="28" w:type="dxa"/>
          <w:right w:w="28" w:type="dxa"/>
        </w:tblCellMar>
      </w:tblPr>
      <w:tblGrid>
        <w:gridCol w:w="226"/>
        <w:gridCol w:w="376"/>
        <w:gridCol w:w="1306"/>
      </w:tblGrid>
      <w:tr>
        <w:trPr/>
        <w:tc>
          <w:tcPr>
            <w:tcW w:w="22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r>
      <w:tr>
        <w:trPr/>
        <w:tc>
          <w:tcPr>
            <w:tcW w:w="226" w:type="dxa"/>
            <w:tcBorders/>
            <w:tcMar>
              <w:top w:w="0" w:type="dxa"/>
              <w:left w:w="0" w:type="dxa"/>
              <w:bottom w:w="0" w:type="dxa"/>
              <w:right w:w="0" w:type="dxa"/>
            </w:tcMar>
            <w:vAlign w:val="center"/>
          </w:tcPr>
          <w:p>
            <w:pPr>
              <w:pStyle w:val="TableContents"/>
              <w:bidi w:val="0"/>
              <w:spacing w:before="0" w:after="80"/>
              <w:jc w:val="left"/>
              <w:rPr>
                <w:sz w:val="20"/>
              </w:rPr>
            </w:pPr>
            <w:r>
              <w:rPr>
                <w:sz w:val="20"/>
              </w:rPr>
              <w:t>3</w:t>
            </w:r>
          </w:p>
        </w:tc>
        <w:tc>
          <w:tcPr>
            <w:tcW w:w="376" w:type="dxa"/>
            <w:tcBorders/>
            <w:tcMar>
              <w:top w:w="0" w:type="dxa"/>
              <w:left w:w="0" w:type="dxa"/>
              <w:bottom w:w="0" w:type="dxa"/>
              <w:right w:w="0" w:type="dxa"/>
            </w:tcMar>
            <w:vAlign w:val="center"/>
          </w:tcPr>
          <w:p>
            <w:pPr>
              <w:pStyle w:val="TableContents"/>
              <w:bidi w:val="0"/>
              <w:spacing w:before="0" w:after="80"/>
              <w:jc w:val="left"/>
              <w:rPr/>
            </w:pPr>
            <w:r>
              <w:rPr>
                <w:sz w:val="20"/>
              </w:rPr>
              <w:t>(a)</w:t>
            </w:r>
            <w:r>
              <w:rPr/>
              <w:t xml:space="preserve"> </w:t>
            </w:r>
          </w:p>
        </w:tc>
        <w:tc>
          <w:tcPr>
            <w:tcW w:w="1306" w:type="dxa"/>
            <w:tcBorders/>
            <w:tcMar>
              <w:top w:w="0" w:type="dxa"/>
              <w:left w:w="0" w:type="dxa"/>
              <w:bottom w:w="0" w:type="dxa"/>
              <w:right w:w="0" w:type="dxa"/>
            </w:tcMar>
            <w:vAlign w:val="center"/>
          </w:tcPr>
          <w:p>
            <w:pPr>
              <w:pStyle w:val="TableContents"/>
              <w:bidi w:val="0"/>
              <w:spacing w:before="0" w:after="80"/>
              <w:jc w:val="left"/>
              <w:rPr/>
            </w:pPr>
            <w:r>
              <w:rPr>
                <w:sz w:val="20"/>
              </w:rPr>
              <w:t>See note 1(a).</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
        <w:gridCol w:w="292"/>
        <w:gridCol w:w="9752"/>
      </w:tblGrid>
      <w:tr>
        <w:trPr/>
        <w:tc>
          <w:tcPr>
            <w:tcW w:w="161"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c>
          <w:tcPr>
            <w:tcW w:w="9752"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80"/>
              <w:jc w:val="left"/>
              <w:rPr/>
            </w:pPr>
            <w:r>
              <w:rPr/>
              <w:t> </w:t>
            </w:r>
          </w:p>
        </w:tc>
        <w:tc>
          <w:tcPr>
            <w:tcW w:w="292" w:type="dxa"/>
            <w:tcBorders/>
            <w:tcMar>
              <w:top w:w="0" w:type="dxa"/>
              <w:left w:w="0" w:type="dxa"/>
              <w:bottom w:w="0" w:type="dxa"/>
              <w:right w:w="0" w:type="dxa"/>
            </w:tcMar>
            <w:vAlign w:val="center"/>
          </w:tcPr>
          <w:p>
            <w:pPr>
              <w:pStyle w:val="TableContents"/>
              <w:bidi w:val="0"/>
              <w:spacing w:before="0" w:after="80"/>
              <w:jc w:val="left"/>
              <w:rPr/>
            </w:pPr>
            <w:r>
              <w:rPr>
                <w:sz w:val="20"/>
              </w:rPr>
              <w:t>(b)</w:t>
            </w:r>
            <w:r>
              <w:rPr/>
              <w:t xml:space="preserve"> </w:t>
            </w:r>
          </w:p>
        </w:tc>
        <w:tc>
          <w:tcPr>
            <w:tcW w:w="9752" w:type="dxa"/>
            <w:tcBorders/>
            <w:tcMar>
              <w:top w:w="0" w:type="dxa"/>
              <w:left w:w="0" w:type="dxa"/>
              <w:bottom w:w="0" w:type="dxa"/>
              <w:right w:w="0" w:type="dxa"/>
            </w:tcMar>
            <w:vAlign w:val="center"/>
          </w:tcPr>
          <w:p>
            <w:pPr>
              <w:pStyle w:val="TableContents"/>
              <w:bidi w:val="0"/>
              <w:spacing w:before="0" w:after="80"/>
              <w:jc w:val="left"/>
              <w:rPr/>
            </w:pPr>
            <w:r>
              <w:rPr>
                <w:sz w:val="20"/>
              </w:rPr>
              <w:t>Represents 2,462,204 shares of Common Stock reserved and available for future issuance under the 2026 ESPP. The 2026 ESPP provides that the number of shares reserved and available for issuance thereunder automatically increases each January 1, beginning January 1, 2027 and ending on January 1, 2036, by the least of (i) 1% of the Registrant's Outstanding Shares (as defined in the 2026 ESPP) on the immediately preceding December 31, (ii) 1,500,000 shares of Common Stock and (iii) such number of shares of Common Stock as determined by the administrator of the 2026 ESPP.</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1"/>
        <w:gridCol w:w="284"/>
        <w:gridCol w:w="9760"/>
      </w:tblGrid>
      <w:tr>
        <w:trPr/>
        <w:tc>
          <w:tcPr>
            <w:tcW w:w="161"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760"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80"/>
              <w:jc w:val="left"/>
              <w:rPr/>
            </w:pPr>
            <w:r>
              <w:rPr/>
              <w:t> </w:t>
            </w:r>
          </w:p>
        </w:tc>
        <w:tc>
          <w:tcPr>
            <w:tcW w:w="284" w:type="dxa"/>
            <w:tcBorders/>
            <w:tcMar>
              <w:top w:w="0" w:type="dxa"/>
              <w:left w:w="0" w:type="dxa"/>
              <w:bottom w:w="0" w:type="dxa"/>
              <w:right w:w="0" w:type="dxa"/>
            </w:tcMar>
            <w:vAlign w:val="center"/>
          </w:tcPr>
          <w:p>
            <w:pPr>
              <w:pStyle w:val="TableContents"/>
              <w:bidi w:val="0"/>
              <w:spacing w:before="0" w:after="80"/>
              <w:jc w:val="left"/>
              <w:rPr/>
            </w:pPr>
            <w:r>
              <w:rPr>
                <w:sz w:val="20"/>
              </w:rPr>
              <w:t>(c)</w:t>
            </w:r>
            <w:r>
              <w:rPr/>
              <w:t xml:space="preserve"> </w:t>
            </w:r>
          </w:p>
        </w:tc>
        <w:tc>
          <w:tcPr>
            <w:tcW w:w="9760"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the purposes of calculating the registration fee pursuant to Rule 457(c) of the Securities Act, and based on 85% (the percentage of the price per share applicable to purchases under the 2026 ESPP) of $14.87, the average of the high and low sale prices of the Common Stock as reported on Nasdaq on September 16, 2026 (such date being within five business days of the date that this Registration Statement was filed with the Commission).</w:t>
            </w:r>
            <w:r>
              <w:rPr/>
              <w:t xml:space="preserve"> </w:t>
            </w:r>
          </w:p>
        </w:tc>
      </w:tr>
    </w:tbl>
    <w:p>
      <w:pPr>
        <w:pStyle w:val="TextBody"/>
        <w:bidi w:val="0"/>
        <w:spacing w:before="0" w:after="0"/>
        <w:ind w:left="0" w:right="3435" w:hanging="0"/>
        <w:jc w:val="left"/>
        <w:rPr/>
      </w:pPr>
      <w:r>
        <w:rPr/>
        <w:t> </w:t>
      </w:r>
    </w:p>
    <w:tbl>
      <w:tblPr>
        <w:tblW w:w="5162" w:type="dxa"/>
        <w:jc w:val="left"/>
        <w:tblInd w:w="0" w:type="dxa"/>
        <w:tblLayout w:type="fixed"/>
        <w:tblCellMar>
          <w:top w:w="28" w:type="dxa"/>
          <w:left w:w="28" w:type="dxa"/>
          <w:bottom w:w="28" w:type="dxa"/>
          <w:right w:w="28" w:type="dxa"/>
        </w:tblCellMar>
      </w:tblPr>
      <w:tblGrid>
        <w:gridCol w:w="3481"/>
        <w:gridCol w:w="1681"/>
      </w:tblGrid>
      <w:tr>
        <w:trPr/>
        <w:tc>
          <w:tcPr>
            <w:tcW w:w="3481" w:type="dxa"/>
            <w:tcBorders/>
            <w:vAlign w:val="center"/>
          </w:tcPr>
          <w:p>
            <w:pPr>
              <w:pStyle w:val="TableContents"/>
              <w:bidi w:val="0"/>
              <w:spacing w:before="0" w:after="283"/>
              <w:jc w:val="left"/>
              <w:rPr/>
            </w:pPr>
            <w:r>
              <w:rPr/>
              <w:t> </w:t>
            </w:r>
          </w:p>
        </w:tc>
        <w:tc>
          <w:tcPr>
            <w:tcW w:w="1681" w:type="dxa"/>
            <w:tcBorders/>
            <w:vAlign w:val="center"/>
          </w:tcPr>
          <w:p>
            <w:pPr>
              <w:pStyle w:val="TableContents"/>
              <w:bidi w:val="0"/>
              <w:spacing w:before="0" w:after="283"/>
              <w:jc w:val="left"/>
              <w:rPr/>
            </w:pPr>
            <w:r>
              <w:rPr/>
              <w:t> </w:t>
            </w:r>
          </w:p>
        </w:tc>
      </w:tr>
      <w:tr>
        <w:trPr/>
        <w:tc>
          <w:tcPr>
            <w:tcW w:w="3481" w:type="dxa"/>
            <w:tcBorders/>
            <w:tcMar>
              <w:top w:w="0" w:type="dxa"/>
              <w:left w:w="0" w:type="dxa"/>
              <w:bottom w:w="0" w:type="dxa"/>
              <w:right w:w="0" w:type="dxa"/>
            </w:tcMar>
            <w:vAlign w:val="center"/>
          </w:tcPr>
          <w:p>
            <w:pPr>
              <w:pStyle w:val="TableContents"/>
              <w:bidi w:val="0"/>
              <w:spacing w:before="0" w:after="80"/>
              <w:jc w:val="left"/>
              <w:rPr/>
            </w:pPr>
            <w:r>
              <w:rPr>
                <w:b/>
                <w:sz w:val="20"/>
                <w:u w:val="single"/>
              </w:rPr>
              <w:t>Table 2: Fee Offset Claims and Sources</w:t>
            </w:r>
            <w:r>
              <w:rPr/>
              <w:t xml:space="preserve"> </w:t>
            </w:r>
          </w:p>
        </w:tc>
        <w:tc>
          <w:tcPr>
            <w:tcW w:w="1681" w:type="dxa"/>
            <w:tcBorders/>
            <w:tcMar>
              <w:top w:w="0" w:type="dxa"/>
              <w:left w:w="0" w:type="dxa"/>
              <w:bottom w:w="0" w:type="dxa"/>
              <w:right w:w="0" w:type="dxa"/>
            </w:tcMar>
            <w:vAlign w:val="center"/>
          </w:tcPr>
          <w:p>
            <w:pPr>
              <w:pStyle w:val="TableContents"/>
              <w:bidi w:val="0"/>
              <w:spacing w:before="0" w:after="80"/>
              <w:jc w:val="right"/>
              <w:rPr/>
            </w:pPr>
            <w:r>
              <w:rPr/>
              <w:t>☑</w:t>
            </w:r>
            <w:r>
              <w:rPr>
                <w:b/>
                <w:sz w:val="20"/>
              </w:rPr>
              <w:t>Not Applicable</w:t>
            </w:r>
            <w:r>
              <w:rPr/>
              <w:t xml:space="preserve"> </w:t>
            </w:r>
          </w:p>
        </w:tc>
      </w:tr>
    </w:tbl>
    <w:tbl>
      <w:tblPr>
        <w:tblW w:w="11652" w:type="dxa"/>
        <w:jc w:val="left"/>
        <w:tblInd w:w="0" w:type="dxa"/>
        <w:tblLayout w:type="fixed"/>
        <w:tblCellMar>
          <w:top w:w="28" w:type="dxa"/>
          <w:left w:w="28" w:type="dxa"/>
          <w:bottom w:w="28" w:type="dxa"/>
          <w:right w:w="28" w:type="dxa"/>
        </w:tblCellMar>
      </w:tblPr>
      <w:tblGrid>
        <w:gridCol w:w="871"/>
        <w:gridCol w:w="1171"/>
        <w:gridCol w:w="691"/>
        <w:gridCol w:w="961"/>
        <w:gridCol w:w="706"/>
        <w:gridCol w:w="691"/>
        <w:gridCol w:w="961"/>
        <w:gridCol w:w="1186"/>
        <w:gridCol w:w="1186"/>
        <w:gridCol w:w="1186"/>
        <w:gridCol w:w="1186"/>
        <w:gridCol w:w="856"/>
      </w:tblGrid>
      <w:tr>
        <w:trPr/>
        <w:tc>
          <w:tcPr>
            <w:tcW w:w="871" w:type="dxa"/>
            <w:tcBorders/>
            <w:vAlign w:val="center"/>
          </w:tcPr>
          <w:p>
            <w:pPr>
              <w:pStyle w:val="TableContents"/>
              <w:bidi w:val="0"/>
              <w:spacing w:before="0" w:after="283"/>
              <w:jc w:val="left"/>
              <w:rPr/>
            </w:pPr>
            <w:r>
              <w:rPr/>
              <w:t> </w:t>
            </w:r>
          </w:p>
        </w:tc>
        <w:tc>
          <w:tcPr>
            <w:tcW w:w="1171"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r>
      <w:tr>
        <w:trPr/>
        <w:tc>
          <w:tcPr>
            <w:tcW w:w="871"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117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Registrant or Filer Name</w:t>
            </w:r>
            <w:r>
              <w:rPr/>
              <w:t xml:space="preserve"> </w:t>
            </w:r>
          </w:p>
        </w:tc>
        <w:tc>
          <w:tcPr>
            <w:tcW w:w="69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Form or Filing Type</w:t>
            </w:r>
            <w:r>
              <w:rPr/>
              <w:t xml:space="preserve"> </w:t>
            </w:r>
          </w:p>
        </w:tc>
        <w:tc>
          <w:tcPr>
            <w:tcW w:w="96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File Number</w:t>
            </w:r>
            <w:r>
              <w:rPr/>
              <w:t xml:space="preserve"> </w:t>
            </w:r>
          </w:p>
        </w:tc>
        <w:tc>
          <w:tcPr>
            <w:tcW w:w="7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Initial Filing Date</w:t>
            </w:r>
            <w:r>
              <w:rPr/>
              <w:t xml:space="preserve"> </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Filing Date</w:t>
            </w:r>
            <w:r>
              <w:rPr/>
              <w:t xml:space="preserve"> </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 Associated with 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Security Title Associated with 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Unsold Securities Associated with Fee Offset Claimed</w:t>
            </w:r>
            <w:r>
              <w:rPr/>
              <w:t xml:space="preserve">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Unsold Aggregate Offering Amount Associated with Fee Offset Claimed</w:t>
            </w:r>
            <w:r>
              <w:rPr/>
              <w:t xml:space="preserve"> </w:t>
            </w:r>
          </w:p>
        </w:tc>
        <w:tc>
          <w:tcPr>
            <w:tcW w:w="8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Fee Paid with Fee Offset Source</w:t>
            </w:r>
            <w:r>
              <w:rPr/>
              <w:t xml:space="preserve"> </w:t>
            </w:r>
          </w:p>
        </w:tc>
      </w:tr>
      <w:tr>
        <w:trPr/>
        <w:tc>
          <w:tcPr>
            <w:tcW w:w="11652" w:type="dxa"/>
            <w:gridSpan w:val="12"/>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Rule 457(p)</w:t>
            </w:r>
            <w:r>
              <w:rPr/>
              <w:t xml:space="preserve"> </w:t>
            </w:r>
          </w:p>
        </w:tc>
      </w:tr>
      <w:tr>
        <w:trPr/>
        <w:tc>
          <w:tcPr>
            <w:tcW w:w="871"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Offset Claims </w:t>
            </w:r>
          </w:p>
        </w:tc>
        <w:tc>
          <w:tcPr>
            <w:tcW w:w="117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6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70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69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w:t>
            </w:r>
          </w:p>
        </w:tc>
        <w:tc>
          <w:tcPr>
            <w:tcW w:w="8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center"/>
              <w:rPr/>
            </w:pPr>
            <w:r>
              <w:rPr/>
              <w:t> </w:t>
            </w:r>
          </w:p>
        </w:tc>
      </w:tr>
      <w:tr>
        <w:trPr/>
        <w:tc>
          <w:tcPr>
            <w:tcW w:w="871" w:type="dxa"/>
            <w:tcBorders>
              <w:top w:val="single" w:sz="8" w:space="0" w:color="000000"/>
              <w:left w:val="single" w:sz="8" w:space="0" w:color="000000"/>
              <w:bottom w:val="single" w:sz="8" w:space="0" w:color="000000"/>
              <w:right w:val="single" w:sz="8" w:space="0" w:color="000000"/>
            </w:tcBorders>
            <w:tcMar>
              <w:top w:w="40" w:type="dxa"/>
              <w:left w:w="108" w:type="dxa"/>
              <w:bottom w:w="35" w:type="dxa"/>
            </w:tcMar>
            <w:vAlign w:val="center"/>
          </w:tcPr>
          <w:p>
            <w:pPr>
              <w:pStyle w:val="TableContents"/>
              <w:bidi w:val="0"/>
              <w:spacing w:before="0" w:after="0"/>
              <w:jc w:val="left"/>
              <w:rPr/>
            </w:pPr>
            <w:r>
              <w:rPr/>
              <w:t xml:space="preserve">Fees Offset Sources </w:t>
            </w:r>
          </w:p>
        </w:tc>
        <w:tc>
          <w:tcPr>
            <w:tcW w:w="117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70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69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c>
          <w:tcPr>
            <w:tcW w:w="9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left"/>
              <w:rPr/>
            </w:pPr>
            <w:r>
              <w:rPr/>
              <w:t>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118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t> </w:t>
            </w:r>
          </w:p>
        </w:tc>
        <w:tc>
          <w:tcPr>
            <w:tcW w:w="8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NewRoman">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76446/000114036126025588/ny20061080x17_424b4.htm" TargetMode="External"/><Relationship Id="rId3" Type="http://schemas.openxmlformats.org/officeDocument/2006/relationships/hyperlink" Target="https://www.sec.gov/Archives/edgar/data/2017526/000114036126028054/ef20077613_424b3.htm" TargetMode="External"/><Relationship Id="rId4" Type="http://schemas.openxmlformats.org/officeDocument/2006/relationships/hyperlink" Target="https://www.sec.gov/ix?doc=/Archives/edgar/data/2017526/000114036126021083/ef20070466_10q.htm" TargetMode="External"/><Relationship Id="rId5" Type="http://schemas.openxmlformats.org/officeDocument/2006/relationships/hyperlink" Target="https://www.sec.gov/ix?doc=/Archives/edgar/data/2017526/000114036126028480/ef20075512_10q.htm" TargetMode="External"/><Relationship Id="rId6" Type="http://schemas.openxmlformats.org/officeDocument/2006/relationships/hyperlink" Target="https://www.sec.gov/ix?doc=/Archives/edgar/data/2017526/000114036126024795/ef20075826_8k.htm" TargetMode="External"/><Relationship Id="rId7" Type="http://schemas.openxmlformats.org/officeDocument/2006/relationships/hyperlink" Target="https://www.sec.gov/ix?doc=/Archives/edgar/data/2017526/000114036126028049/ef20077584_8k.htm" TargetMode="External"/><Relationship Id="rId8" Type="http://schemas.openxmlformats.org/officeDocument/2006/relationships/hyperlink" Target="https://www.sec.gov/ix?doc=/Archives/edgar/data/2017526/000114036126028571/ef20078084_8k.htm" TargetMode="External"/><Relationship Id="rId9" Type="http://schemas.openxmlformats.org/officeDocument/2006/relationships/hyperlink" Target="https://www.sec.gov/ix?doc=/Archives/edgar/data/2017526/000114036126029471/ef20078324_8k.htm" TargetMode="External"/><Relationship Id="rId10" Type="http://schemas.openxmlformats.org/officeDocument/2006/relationships/hyperlink" Target="https://www.sec.gov/ix?doc=/Archives/edgar/data/2017526/000114036126032873/ef20080133_8ka.htm" TargetMode="External"/><Relationship Id="rId11" Type="http://schemas.openxmlformats.org/officeDocument/2006/relationships/hyperlink" Target="https://www.sec.gov/ix?doc=/Archives/edgar/data/2017526/000114036126029689/ef20078829_8k.htm" TargetMode="External"/><Relationship Id="rId12" Type="http://schemas.openxmlformats.org/officeDocument/2006/relationships/hyperlink" Target="https://www.sec.gov/Archives/edgar/data/2017526/000114036124029891/ny20026753x13_424b4.htm" TargetMode="External"/><Relationship Id="rId13" Type="http://schemas.openxmlformats.org/officeDocument/2006/relationships/hyperlink" Target="https://www.sec.gov/Archives/edgar/data/2017526/000114036126029471/ef20078324_ex3-1.htm" TargetMode="External"/><Relationship Id="rId14" Type="http://schemas.openxmlformats.org/officeDocument/2006/relationships/hyperlink" Target="https://www.sec.gov/Archives/edgar/data/2017526/000114036126029471/ef20078324_ex3-2.htm" TargetMode="External"/><Relationship Id="rId15" Type="http://schemas.openxmlformats.org/officeDocument/2006/relationships/hyperlink" Target="https://www.sec.gov/Archives/edgar/data/2017526/000114036126029471/ef20078324_ex10-15.htm" TargetMode="External"/><Relationship Id="rId16" Type="http://schemas.openxmlformats.org/officeDocument/2006/relationships/hyperlink" Target="https://www.sec.gov/Archives/edgar/data/2017526/000114036126029471/ef20078324_ex10-16.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5097</Words>
  <Characters>27148</Characters>
  <CharactersWithSpaces>32594</CharactersWithSpaces>
  <Paragraphs>569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