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Ennis Riley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FREENOME,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Freenome, Inc.</w:t>
              </w:r>
            </w:hyperlink>
            <w:r>
              <w:rPr/>
              <w:t xml:space="preserve"> [ </w:t>
            </w:r>
            <w:r>
              <w:rPr>
                <w:rFonts w:ascii="Times;serif" w:hAnsi="Times;serif"/>
                <w:color w:val="0000FF"/>
                <w:sz w:val="24"/>
                <w:shd w:fill="FFFFFF" w:val="clear"/>
              </w:rPr>
              <w:t>FRNM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2,490,453</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373,913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06/21/2030</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310,958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06/21/2032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281,369</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15.91</w:t>
            </w:r>
            <w:r>
              <w:rPr>
                <w:rFonts w:ascii="Times;serif" w:hAnsi="Times;serif"/>
                <w:color w:val="008000"/>
                <w:position w:val="7"/>
                <w:sz w:val="16"/>
                <w:sz w:val="20"/>
                <w:shd w:fill="FFFFFF" w:val="clear"/>
              </w:rPr>
              <w:t>(6)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75,082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11.88</w:t>
            </w:r>
            <w:r>
              <w:rPr>
                <w:rFonts w:ascii="Times;serif" w:hAnsi="Times;serif"/>
                <w:color w:val="008000"/>
                <w:position w:val="7"/>
                <w:sz w:val="16"/>
                <w:sz w:val="20"/>
                <w:shd w:fill="FFFFFF" w:val="clear"/>
              </w:rPr>
              <w:t>(6)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118,471</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18.24</w:t>
            </w:r>
            <w:r>
              <w:rPr>
                <w:rFonts w:ascii="Times;serif" w:hAnsi="Times;serif"/>
                <w:color w:val="008000"/>
                <w:position w:val="7"/>
                <w:sz w:val="16"/>
                <w:sz w:val="20"/>
                <w:shd w:fill="FFFFFF" w:val="clear"/>
              </w:rPr>
              <w:t>(6)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03/10/2035</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221,457</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w:t>
            </w:r>
            <w:r>
              <w:rPr>
                <w:rFonts w:ascii="Times;serif" w:hAnsi="Times;serif"/>
                <w:color w:val="008000"/>
                <w:position w:val="7"/>
                <w:sz w:val="16"/>
                <w:sz w:val="20"/>
                <w:shd w:fill="FFFFFF" w:val="clear"/>
              </w:rPr>
              <w:t>(6)</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by the Riley Ennis Irrevocable Trust dated 1/14/21. The Reporting Person disclaims beneficial ownership of such shares for purposes of Section 16 of the Securities Exchange Act of 1934, as amended (the "Exchange Act"), except to the extent of his pecuniary interest therein, if any. This report shall not be deemed an admission that he is a beneficial owner of such shares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subject to this option shall vest and become exercisable on February 2, 2024 with the remainder vesting in thirty-six (36) equal monthly installments thereafter, subject to the Reporting Person's continued service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this option shall vest and become exercisable in thirty-six (36) equal monthly installments commencing from February 16, 2024, subject to the Reporting Person's continued service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25% of the shares subject to this option shall vest and become exercisable on February 15, 2026 with the remainder vesting in thirty-six (36) equal monthly installments thereafter, subject to the Reporting Person's continued service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option was previously amended, pursuant to which the exercise price of the option will be automatically reduced to $8.45 upon the occurrence of certain events.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Fitzpatrick,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78599_ex24.htm"/>
      <w:bookmarkStart w:id="3" w:name="ksef20078599_ex24"/>
      <w:bookmarkStart w:id="4" w:name="ef20078599_ex24.htm"/>
      <w:bookmarkStart w:id="5" w:name="ksef20078599_ex24"/>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Thomas Fitzpatrick and Mary Ann Ivy, and with full power of substitution, as the undersigned's true and lawful attorney-in-fact to:</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0638d089263c4a019e8be930b0948cbb"/>
      <w:bookmarkStart w:id="7" w:name="z0638d089263c4a019e8be930b0948cbb"/>
      <w:bookmarkEnd w:id="7"/>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pPr>
            <w:r>
              <w:rPr/>
            </w:r>
          </w:p>
        </w:tc>
        <w:tc>
          <w:tcPr>
            <w:tcW w:w="149" w:type="dxa"/>
            <w:tcBorders/>
            <w:vAlign w:val="center"/>
          </w:tcPr>
          <w:p>
            <w:pPr>
              <w:pStyle w:val="TableContents"/>
              <w:bidi w:val="0"/>
              <w:spacing w:before="0" w:after="283"/>
              <w:jc w:val="left"/>
              <w:rPr/>
            </w:pPr>
            <w:r>
              <w:rPr/>
              <w:t>a)</w:t>
            </w:r>
          </w:p>
        </w:tc>
        <w:tc>
          <w:tcPr>
            <w:tcW w:w="10018" w:type="dxa"/>
            <w:tcBorders/>
            <w:vAlign w:val="center"/>
          </w:tcPr>
          <w:p>
            <w:pPr>
              <w:pStyle w:val="TableContents"/>
              <w:bidi w:val="0"/>
              <w:spacing w:before="0" w:after="0"/>
              <w:jc w:val="left"/>
              <w:rPr/>
            </w:pPr>
            <w:r>
              <w:rPr/>
              <w:t>execute for and on behalf of the undersigned, in the undersigned's capacity as an officer of Freenome Holdings, Inc., a Delaware corporation (the “Company”), Forms 3, 4, and 5 in accordance with Section 16(a) of the Securities Exchange Act of 1934, as amended, and the rules thereunder;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f074d72838a849c799a73e4188e01b95"/>
      <w:bookmarkStart w:id="9" w:name="zf074d72838a849c799a73e4188e01b95"/>
      <w:bookmarkEnd w:id="9"/>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pPr>
            <w:r>
              <w:rPr/>
            </w:r>
          </w:p>
        </w:tc>
        <w:tc>
          <w:tcPr>
            <w:tcW w:w="163" w:type="dxa"/>
            <w:tcBorders/>
            <w:vAlign w:val="center"/>
          </w:tcPr>
          <w:p>
            <w:pPr>
              <w:pStyle w:val="TableContents"/>
              <w:bidi w:val="0"/>
              <w:spacing w:before="0" w:after="283"/>
              <w:jc w:val="left"/>
              <w:rPr/>
            </w:pPr>
            <w:r>
              <w:rPr/>
              <w:t>b)</w:t>
            </w:r>
          </w:p>
        </w:tc>
        <w:tc>
          <w:tcPr>
            <w:tcW w:w="10004" w:type="dxa"/>
            <w:tcBorders/>
            <w:vAlign w:val="center"/>
          </w:tcPr>
          <w:p>
            <w:pPr>
              <w:pStyle w:val="TableContents"/>
              <w:bidi w:val="0"/>
              <w:spacing w:before="0" w:after="0"/>
              <w:jc w:val="left"/>
              <w:rPr/>
            </w:pPr>
            <w:r>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77d9198b46144ab1aa5925ccee90189a"/>
      <w:bookmarkStart w:id="11" w:name="z77d9198b46144ab1aa5925ccee90189a"/>
      <w:bookmarkEnd w:id="11"/>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pPr>
            <w:r>
              <w:rPr/>
            </w:r>
          </w:p>
        </w:tc>
        <w:tc>
          <w:tcPr>
            <w:tcW w:w="139" w:type="dxa"/>
            <w:tcBorders/>
            <w:vAlign w:val="center"/>
          </w:tcPr>
          <w:p>
            <w:pPr>
              <w:pStyle w:val="TableContents"/>
              <w:bidi w:val="0"/>
              <w:spacing w:before="0" w:after="283"/>
              <w:jc w:val="left"/>
              <w:rPr/>
            </w:pPr>
            <w:r>
              <w:rPr/>
              <w:t>c)</w:t>
            </w:r>
          </w:p>
        </w:tc>
        <w:tc>
          <w:tcPr>
            <w:tcW w:w="10028" w:type="dxa"/>
            <w:tcBorders/>
            <w:vAlign w:val="center"/>
          </w:tcPr>
          <w:p>
            <w:pPr>
              <w:pStyle w:val="TableContents"/>
              <w:bidi w:val="0"/>
              <w:spacing w:before="0" w:after="0"/>
              <w:jc w:val="left"/>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this day of July 27,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5b5a5c9796a24aa08d108959412faf72"/>
      <w:bookmarkStart w:id="13" w:name="z5b5a5c9796a24aa08d108959412faf72"/>
      <w:bookmarkEnd w:id="13"/>
    </w:p>
    <w:tbl>
      <w:tblPr>
        <w:tblW w:w="1880" w:type="dxa"/>
        <w:jc w:val="left"/>
        <w:tblInd w:w="0" w:type="dxa"/>
        <w:tblLayout w:type="fixed"/>
        <w:tblCellMar>
          <w:top w:w="0" w:type="dxa"/>
          <w:left w:w="0" w:type="dxa"/>
          <w:bottom w:w="28" w:type="dxa"/>
          <w:right w:w="0" w:type="dxa"/>
        </w:tblCellMar>
      </w:tblPr>
      <w:tblGrid>
        <w:gridCol w:w="1820"/>
        <w:gridCol w:w="60"/>
      </w:tblGrid>
      <w:tr>
        <w:trPr/>
        <w:tc>
          <w:tcPr>
            <w:tcW w:w="1820" w:type="dxa"/>
            <w:tcBorders>
              <w:bottom w:val="single" w:sz="12" w:space="0" w:color="000000"/>
            </w:tcBorders>
            <w:vAlign w:val="center"/>
          </w:tcPr>
          <w:p>
            <w:pPr>
              <w:pStyle w:val="TableContents"/>
              <w:bidi w:val="0"/>
              <w:spacing w:before="0" w:after="0"/>
              <w:ind w:left="144" w:right="0" w:hanging="144"/>
              <w:jc w:val="left"/>
              <w:rPr/>
            </w:pPr>
            <w:r>
              <w:rPr/>
              <w:t>/s/Riley Ennis</w:t>
            </w:r>
          </w:p>
        </w:tc>
        <w:tc>
          <w:tcPr>
            <w:tcW w:w="60" w:type="dxa"/>
            <w:tcBorders/>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0"/>
              <w:ind w:left="144" w:right="0" w:hanging="144"/>
              <w:jc w:val="left"/>
              <w:rPr/>
            </w:pPr>
            <w:r>
              <w:rPr/>
              <w:t>Name: Riley Ennis</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2835" TargetMode="External"/><Relationship Id="rId3" Type="http://schemas.openxmlformats.org/officeDocument/2006/relationships/hyperlink" Target="http://www.sec.gov/cgi-bin/browse-edgar?action=getcompany&amp;CIK=000201752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1152</Words>
  <Characters>6081</Characters>
  <CharactersWithSpaces>7136</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