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92026_090728.xml.htm"/>
      <w:bookmarkStart w:id="1" w:name="ksform407292026_0907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Waksal Harlan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PERCEPTIVE CAPITAL SOLUTIONS HOLDING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Freenome, Inc.</w:t>
              </w:r>
            </w:hyperlink>
            <w:r>
              <w:rPr/>
              <w:t xml:space="preserve"> [ </w:t>
            </w:r>
            <w:r>
              <w:rPr>
                <w:rFonts w:ascii="Times;serif" w:hAnsi="Times;serif"/>
                <w:color w:val="0000FF"/>
                <w:sz w:val="24"/>
                <w:shd w:fill="FFFFFF" w:val="clear"/>
              </w:rPr>
              <w:t>FRNM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Former Director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Business Combination Agreement, dated December 5, 2025 and amended on July 20, 2026 by and among the Issuer, Freenome Holdings, Inc. ("Old Freenome"), StarNet Merger Sub I, Corp., a wholly-owned subsidiary of the Issuer and StarNet Merger Sub II, LLC, a wholly owned subsidiary of the Issuer (the "BCA"), on July 20, 2026 (the "Closing Date"), the Issuer consummated its business combination with Old Freenome (the "Business Combination"). In connection with the closing of Business Combination, the Issuer's Class B Ordinary Shares converted into Class A Ordinary Shares on a one-to-one basis and subsequently converted into shares of Common Stock on a one-to-one basis.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 Cohn,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9008" TargetMode="External"/><Relationship Id="rId5" Type="http://schemas.openxmlformats.org/officeDocument/2006/relationships/hyperlink" Target="http://www.sec.gov/cgi-bin/browse-edgar?action=getcompany&amp;CIK=000201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3741</Characters>
  <CharactersWithSpaces>4353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